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0341" w14:textId="2B275862" w:rsidR="00021F3F" w:rsidRDefault="0061464F" w:rsidP="00646991">
      <w:pPr>
        <w:pStyle w:val="Title"/>
        <w:jc w:val="center"/>
      </w:pPr>
      <w:r>
        <w:t xml:space="preserve">DEFRA ELMS </w:t>
      </w:r>
      <w:r w:rsidR="00021F3F">
        <w:t>T&amp;T 400 – Peat management</w:t>
      </w:r>
      <w:r w:rsidR="00646991">
        <w:t xml:space="preserve"> decision making and options testing</w:t>
      </w:r>
    </w:p>
    <w:p w14:paraId="6A440D10" w14:textId="77777777" w:rsidR="00646991" w:rsidRDefault="00646991" w:rsidP="00646991"/>
    <w:p w14:paraId="62561CAE" w14:textId="06D1F359" w:rsidR="00F40A47" w:rsidRDefault="00F40A47" w:rsidP="00F40A47">
      <w:pPr>
        <w:rPr>
          <w:b/>
          <w:bCs/>
          <w:i/>
          <w:iCs/>
        </w:rPr>
      </w:pPr>
      <w:r>
        <w:rPr>
          <w:b/>
          <w:bCs/>
          <w:i/>
          <w:iCs/>
        </w:rPr>
        <w:t>Health warning</w:t>
      </w:r>
      <w:r w:rsidR="004D0F1E">
        <w:rPr>
          <w:b/>
          <w:bCs/>
          <w:i/>
          <w:iCs/>
        </w:rPr>
        <w:t xml:space="preserve"> – PLEASE READ</w:t>
      </w:r>
    </w:p>
    <w:p w14:paraId="1C971BC0" w14:textId="77777777" w:rsidR="00F40A47" w:rsidRDefault="00F40A47" w:rsidP="00F40A47">
      <w:pPr>
        <w:rPr>
          <w:b/>
          <w:bCs/>
          <w:i/>
          <w:iCs/>
          <w:sz w:val="28"/>
          <w:szCs w:val="28"/>
        </w:rPr>
      </w:pPr>
      <w:r>
        <w:rPr>
          <w:b/>
          <w:bCs/>
          <w:i/>
          <w:iCs/>
          <w:sz w:val="28"/>
          <w:szCs w:val="28"/>
        </w:rPr>
        <w:t>This is an exploratory phase only.</w:t>
      </w:r>
    </w:p>
    <w:p w14:paraId="498FB525" w14:textId="77777777" w:rsidR="00F40A47" w:rsidRDefault="00F40A47" w:rsidP="00F40A47">
      <w:pPr>
        <w:rPr>
          <w:b/>
          <w:bCs/>
          <w:i/>
          <w:iCs/>
        </w:rPr>
      </w:pPr>
      <w:r>
        <w:rPr>
          <w:i/>
          <w:iCs/>
        </w:rPr>
        <w:t>The following is a conceptual sketch only, to promote discussion and debate.  All proposals are as a result of initial discussions with key stakeholders, both institutional and landowner but no commitments of any kind have yet been made</w:t>
      </w:r>
      <w:r>
        <w:rPr>
          <w:b/>
          <w:bCs/>
          <w:i/>
          <w:iCs/>
        </w:rPr>
        <w:t>.  Terminology is a suggestion only.</w:t>
      </w:r>
    </w:p>
    <w:p w14:paraId="3C218490" w14:textId="364F034B" w:rsidR="00F40A47" w:rsidRDefault="00F40A47" w:rsidP="00F40A47">
      <w:pPr>
        <w:rPr>
          <w:i/>
          <w:iCs/>
        </w:rPr>
      </w:pPr>
      <w:r>
        <w:rPr>
          <w:i/>
          <w:iCs/>
        </w:rPr>
        <w:t xml:space="preserve">These proposals would apply only in times of “normality”, when the wider system is capable of being operated in a managed and controlled state.  At times of high risk, all protocols will be abandoned, and the </w:t>
      </w:r>
      <w:r w:rsidR="00617D79">
        <w:rPr>
          <w:i/>
          <w:iCs/>
        </w:rPr>
        <w:t>F</w:t>
      </w:r>
      <w:r>
        <w:rPr>
          <w:i/>
          <w:iCs/>
        </w:rPr>
        <w:t xml:space="preserve">lood </w:t>
      </w:r>
      <w:r w:rsidR="00617D79">
        <w:rPr>
          <w:i/>
          <w:iCs/>
        </w:rPr>
        <w:t>R</w:t>
      </w:r>
      <w:r>
        <w:rPr>
          <w:i/>
          <w:iCs/>
        </w:rPr>
        <w:t xml:space="preserve">isk </w:t>
      </w:r>
      <w:r w:rsidR="00617D79">
        <w:rPr>
          <w:i/>
          <w:iCs/>
        </w:rPr>
        <w:t>M</w:t>
      </w:r>
      <w:r>
        <w:rPr>
          <w:i/>
          <w:iCs/>
        </w:rPr>
        <w:t>anagement agencies will take full control.</w:t>
      </w:r>
    </w:p>
    <w:p w14:paraId="2BA254B5" w14:textId="12A8A2B1" w:rsidR="00EB3216" w:rsidRPr="00C016E1" w:rsidRDefault="00EB3216" w:rsidP="00EB3216">
      <w:pPr>
        <w:rPr>
          <w:b/>
          <w:bCs/>
          <w:i/>
          <w:iCs/>
        </w:rPr>
      </w:pPr>
      <w:r w:rsidRPr="00C016E1">
        <w:rPr>
          <w:b/>
          <w:bCs/>
          <w:i/>
          <w:iCs/>
        </w:rPr>
        <w:t xml:space="preserve">The payment rates proposed in the following document are only an indicative starting point and still subject to negotiation.  The project has a fixed budget and so will likely have to moderate both the areas that are allowed to participate in the trial and the final payment rates to ensure that funds are not </w:t>
      </w:r>
      <w:r w:rsidR="004D0F1E" w:rsidRPr="00C016E1">
        <w:rPr>
          <w:b/>
          <w:bCs/>
          <w:i/>
          <w:iCs/>
        </w:rPr>
        <w:t>overcommitted</w:t>
      </w:r>
      <w:r w:rsidRPr="00C016E1">
        <w:rPr>
          <w:b/>
          <w:bCs/>
          <w:i/>
          <w:iCs/>
        </w:rPr>
        <w:t>.</w:t>
      </w:r>
    </w:p>
    <w:p w14:paraId="5113D6D0" w14:textId="77777777" w:rsidR="00F40A47" w:rsidRPr="00646991" w:rsidRDefault="00F40A47" w:rsidP="00646991"/>
    <w:p w14:paraId="5E55C3AA" w14:textId="77777777" w:rsidR="00646991" w:rsidRDefault="00646991" w:rsidP="00646991">
      <w:pPr>
        <w:pStyle w:val="Heading2"/>
        <w:rPr>
          <w:rFonts w:eastAsia="Times New Roman"/>
        </w:rPr>
      </w:pPr>
      <w:r>
        <w:rPr>
          <w:rFonts w:eastAsia="Times New Roman"/>
        </w:rPr>
        <w:t>Document intent</w:t>
      </w:r>
    </w:p>
    <w:p w14:paraId="078C82CF" w14:textId="440E967A" w:rsidR="00646991" w:rsidRDefault="00646991" w:rsidP="00646991">
      <w:r>
        <w:t xml:space="preserve">The following endeavours to describe in exact language what is required of Peatland Management DEFRA </w:t>
      </w:r>
      <w:r w:rsidR="0061464F">
        <w:t xml:space="preserve">ELMS </w:t>
      </w:r>
      <w:r>
        <w:t>Test &amp; Trial participants and what payments they will receive in return.</w:t>
      </w:r>
    </w:p>
    <w:p w14:paraId="328CECDC" w14:textId="0700A7E1" w:rsidR="00652568" w:rsidRDefault="00652568" w:rsidP="00652568">
      <w:r>
        <w:t>This work sits centrally in a vision to ensure that Somerset Levels and Moors thrive as the joint pressures of climate and economic change apply increasing stress to the pre-existing challenges of landscape management in this complex, sensitive and nuanced region.</w:t>
      </w:r>
    </w:p>
    <w:p w14:paraId="76CACBD7" w14:textId="77777777" w:rsidR="005A527F" w:rsidRDefault="005A527F" w:rsidP="005A527F">
      <w:pPr>
        <w:rPr>
          <w:b/>
          <w:bCs/>
        </w:rPr>
      </w:pPr>
      <w:r>
        <w:t>It is hoped that this paper will function as a live document, allowing key stakeholders to understand and contribute to the proposals.</w:t>
      </w:r>
    </w:p>
    <w:p w14:paraId="2017243E" w14:textId="77777777" w:rsidR="005A527F" w:rsidRDefault="005A527F" w:rsidP="005A527F">
      <w:pPr>
        <w:rPr>
          <w:b/>
          <w:bCs/>
        </w:rPr>
      </w:pPr>
      <w:r>
        <w:rPr>
          <w:b/>
          <w:bCs/>
        </w:rPr>
        <w:t>Please offer any suggestions you see fit to better reflect:</w:t>
      </w:r>
    </w:p>
    <w:p w14:paraId="32D6264E" w14:textId="77777777" w:rsidR="005A527F" w:rsidRDefault="005A527F" w:rsidP="005A527F">
      <w:pPr>
        <w:pStyle w:val="ListParagraph"/>
        <w:numPr>
          <w:ilvl w:val="0"/>
          <w:numId w:val="15"/>
        </w:numPr>
        <w:rPr>
          <w:b/>
          <w:bCs/>
        </w:rPr>
      </w:pPr>
      <w:r>
        <w:rPr>
          <w:b/>
          <w:bCs/>
        </w:rPr>
        <w:t>What is happening now</w:t>
      </w:r>
    </w:p>
    <w:p w14:paraId="5C8858A0" w14:textId="2BCD1FF9" w:rsidR="005A527F" w:rsidRDefault="005A527F" w:rsidP="005A527F">
      <w:pPr>
        <w:pStyle w:val="ListParagraph"/>
        <w:numPr>
          <w:ilvl w:val="0"/>
          <w:numId w:val="15"/>
        </w:numPr>
        <w:rPr>
          <w:b/>
          <w:bCs/>
        </w:rPr>
      </w:pPr>
      <w:r>
        <w:rPr>
          <w:b/>
          <w:bCs/>
        </w:rPr>
        <w:t xml:space="preserve">What might be achieved through this </w:t>
      </w:r>
      <w:r w:rsidR="00DA302F">
        <w:rPr>
          <w:b/>
          <w:bCs/>
        </w:rPr>
        <w:t xml:space="preserve">peat management </w:t>
      </w:r>
      <w:r w:rsidR="0063066F">
        <w:rPr>
          <w:b/>
          <w:bCs/>
        </w:rPr>
        <w:t>Test and Trial</w:t>
      </w:r>
    </w:p>
    <w:p w14:paraId="75BCC73E" w14:textId="77777777" w:rsidR="005A527F" w:rsidRDefault="005A527F" w:rsidP="005A527F">
      <w:pPr>
        <w:pStyle w:val="ListParagraph"/>
        <w:numPr>
          <w:ilvl w:val="0"/>
          <w:numId w:val="15"/>
        </w:numPr>
      </w:pPr>
      <w:r>
        <w:rPr>
          <w:b/>
          <w:bCs/>
        </w:rPr>
        <w:t>How best to achieve that</w:t>
      </w:r>
    </w:p>
    <w:p w14:paraId="66347C8C" w14:textId="77777777" w:rsidR="005A527F" w:rsidRDefault="005A527F" w:rsidP="005A527F">
      <w:pPr>
        <w:pStyle w:val="ListParagraph"/>
        <w:numPr>
          <w:ilvl w:val="0"/>
          <w:numId w:val="15"/>
        </w:numPr>
        <w:rPr>
          <w:b/>
          <w:bCs/>
        </w:rPr>
      </w:pPr>
      <w:r>
        <w:rPr>
          <w:b/>
          <w:bCs/>
        </w:rPr>
        <w:t>Any material corrections you consider important</w:t>
      </w:r>
    </w:p>
    <w:p w14:paraId="65F091EB" w14:textId="63F1130F" w:rsidR="00693C56" w:rsidRDefault="00646991" w:rsidP="00693C56">
      <w:r>
        <w:rPr>
          <w:b/>
          <w:bCs/>
        </w:rPr>
        <w:t>The t</w:t>
      </w:r>
      <w:r w:rsidRPr="006C2139">
        <w:rPr>
          <w:b/>
          <w:bCs/>
        </w:rPr>
        <w:t>rial is for 1 year only and no obligation real or implied exists for any party beyond t</w:t>
      </w:r>
      <w:r w:rsidRPr="00693C56">
        <w:rPr>
          <w:b/>
          <w:bCs/>
        </w:rPr>
        <w:t xml:space="preserve">he dates </w:t>
      </w:r>
      <w:r w:rsidRPr="00AA40EC">
        <w:rPr>
          <w:b/>
          <w:bCs/>
        </w:rPr>
        <w:t>of these experimental trials (</w:t>
      </w:r>
      <w:r w:rsidR="00AA40EC" w:rsidRPr="00C016E1">
        <w:rPr>
          <w:b/>
          <w:bCs/>
        </w:rPr>
        <w:t>Start Date 1</w:t>
      </w:r>
      <w:r w:rsidR="00AA40EC" w:rsidRPr="00C016E1">
        <w:rPr>
          <w:b/>
          <w:bCs/>
          <w:vertAlign w:val="superscript"/>
        </w:rPr>
        <w:t>st</w:t>
      </w:r>
      <w:r w:rsidR="00AA40EC" w:rsidRPr="00C016E1">
        <w:rPr>
          <w:b/>
          <w:bCs/>
        </w:rPr>
        <w:t xml:space="preserve"> December</w:t>
      </w:r>
      <w:r w:rsidRPr="00AA40EC">
        <w:rPr>
          <w:b/>
          <w:bCs/>
        </w:rPr>
        <w:t xml:space="preserve"> </w:t>
      </w:r>
      <w:r w:rsidR="0063066F">
        <w:rPr>
          <w:b/>
          <w:bCs/>
        </w:rPr>
        <w:t xml:space="preserve">2022 </w:t>
      </w:r>
      <w:r w:rsidRPr="00AA40EC">
        <w:rPr>
          <w:b/>
          <w:bCs/>
        </w:rPr>
        <w:t xml:space="preserve">to </w:t>
      </w:r>
      <w:r w:rsidR="00556122" w:rsidRPr="00C016E1">
        <w:rPr>
          <w:b/>
          <w:bCs/>
        </w:rPr>
        <w:t>End date</w:t>
      </w:r>
      <w:r w:rsidR="00B36B0B" w:rsidRPr="00C016E1">
        <w:rPr>
          <w:b/>
          <w:bCs/>
        </w:rPr>
        <w:t xml:space="preserve"> </w:t>
      </w:r>
      <w:r w:rsidR="00AA40EC" w:rsidRPr="00C016E1">
        <w:rPr>
          <w:b/>
          <w:bCs/>
        </w:rPr>
        <w:t>30</w:t>
      </w:r>
      <w:r w:rsidR="00AA40EC" w:rsidRPr="00C016E1">
        <w:rPr>
          <w:b/>
          <w:bCs/>
          <w:vertAlign w:val="superscript"/>
        </w:rPr>
        <w:t>th</w:t>
      </w:r>
      <w:r w:rsidR="00B36B0B" w:rsidRPr="00C016E1">
        <w:rPr>
          <w:b/>
          <w:bCs/>
        </w:rPr>
        <w:t xml:space="preserve"> </w:t>
      </w:r>
      <w:r w:rsidR="00AA40EC" w:rsidRPr="00C016E1">
        <w:rPr>
          <w:b/>
          <w:bCs/>
        </w:rPr>
        <w:t>November</w:t>
      </w:r>
      <w:r w:rsidR="00B36B0B" w:rsidRPr="00C016E1">
        <w:rPr>
          <w:b/>
          <w:bCs/>
        </w:rPr>
        <w:t xml:space="preserve"> 2023</w:t>
      </w:r>
      <w:r w:rsidR="00556122" w:rsidRPr="00C016E1">
        <w:rPr>
          <w:b/>
          <w:bCs/>
        </w:rPr>
        <w:t>]</w:t>
      </w:r>
      <w:r w:rsidRPr="00AA40EC">
        <w:rPr>
          <w:b/>
          <w:bCs/>
        </w:rPr>
        <w:t>).</w:t>
      </w:r>
      <w:r w:rsidR="00693C56" w:rsidRPr="00AA40EC">
        <w:rPr>
          <w:b/>
          <w:bCs/>
        </w:rPr>
        <w:t xml:space="preserve">  </w:t>
      </w:r>
      <w:r w:rsidR="00693C56" w:rsidRPr="00C016E1">
        <w:rPr>
          <w:b/>
          <w:bCs/>
        </w:rPr>
        <w:t>In order to successfully deliver this trial for landowners in the challenging and dynamic space that is the Somerset Levels and Moors, FWAG reserve the right to amend any and all details as required, within the spirit of the endeavour.</w:t>
      </w:r>
    </w:p>
    <w:p w14:paraId="203CD628" w14:textId="591AD4B0" w:rsidR="00646991" w:rsidRDefault="00646991" w:rsidP="00646991">
      <w:pPr>
        <w:rPr>
          <w:b/>
          <w:bCs/>
        </w:rPr>
      </w:pPr>
    </w:p>
    <w:p w14:paraId="58F08C2E" w14:textId="1F766246" w:rsidR="00646991" w:rsidRDefault="00646991" w:rsidP="00646991">
      <w:pPr>
        <w:pStyle w:val="Heading3"/>
      </w:pPr>
      <w:r>
        <w:t>Version change log</w:t>
      </w:r>
    </w:p>
    <w:p w14:paraId="71D0478C" w14:textId="4C76DAB0" w:rsidR="00646991" w:rsidRDefault="00646991" w:rsidP="00646991">
      <w:r>
        <w:t>0</w:t>
      </w:r>
      <w:r w:rsidR="0015236A">
        <w:t>1</w:t>
      </w:r>
      <w:r>
        <w:t>:</w:t>
      </w:r>
      <w:r w:rsidR="0015236A">
        <w:t xml:space="preserve"> Initial draft for comment and discussion</w:t>
      </w:r>
    </w:p>
    <w:p w14:paraId="71FB3ED6" w14:textId="48E3494F" w:rsidR="00363DD2" w:rsidRDefault="00363DD2" w:rsidP="00646991">
      <w:r>
        <w:t>02: Second draft for comment and further discussion</w:t>
      </w:r>
    </w:p>
    <w:p w14:paraId="3EAB0A3F" w14:textId="54BCF6EA" w:rsidR="000E6F2D" w:rsidRDefault="000E6F2D" w:rsidP="00646991">
      <w:r>
        <w:t>03: Updated with proposed payment rates &amp; source data, removed retainer payment.</w:t>
      </w:r>
      <w:r w:rsidR="00407800">
        <w:t xml:space="preserve">  Updated “Winter option intent”, added Freeboard as disambiguation</w:t>
      </w:r>
      <w:r w:rsidR="004A7BAB">
        <w:t xml:space="preserve">, </w:t>
      </w:r>
      <w:r w:rsidR="008046A3">
        <w:t>incorporated appendices</w:t>
      </w:r>
      <w:r w:rsidR="0013286E">
        <w:t xml:space="preserve">.  Doc landing page </w:t>
      </w:r>
      <w:r w:rsidR="00A61E9C">
        <w:t>expanded.</w:t>
      </w:r>
    </w:p>
    <w:p w14:paraId="7059464C" w14:textId="19C71445" w:rsidR="005B0B4A" w:rsidRDefault="005B0B4A" w:rsidP="00646991">
      <w:r>
        <w:t>04: SharePoint version created</w:t>
      </w:r>
    </w:p>
    <w:p w14:paraId="0561494D" w14:textId="424C6ECC" w:rsidR="004475AF" w:rsidRDefault="004475AF" w:rsidP="00646991">
      <w:r>
        <w:t>05: Deliverability and flood risk exclusions added to summer and winter pen.</w:t>
      </w:r>
    </w:p>
    <w:p w14:paraId="09434D6C" w14:textId="69DD24D3" w:rsidR="00E058B1" w:rsidRDefault="00E058B1" w:rsidP="00646991">
      <w:r>
        <w:t>06: Summer pen payment rates</w:t>
      </w:r>
      <w:r w:rsidR="00AA40EC">
        <w:t>, removal of  Red suggestion text</w:t>
      </w:r>
    </w:p>
    <w:p w14:paraId="63DA9D80" w14:textId="091C58ED" w:rsidR="00AA40EC" w:rsidRDefault="00AA40EC" w:rsidP="00646991">
      <w:r>
        <w:t>07: Publication</w:t>
      </w:r>
    </w:p>
    <w:p w14:paraId="37603745" w14:textId="52DAD3EA" w:rsidR="0015236A" w:rsidRDefault="0015236A" w:rsidP="0015236A">
      <w:pPr>
        <w:pStyle w:val="Heading1"/>
      </w:pPr>
      <w:r>
        <w:t>T</w:t>
      </w:r>
      <w:r w:rsidR="00BA46EC">
        <w:t>&amp;T 400</w:t>
      </w:r>
      <w:r>
        <w:t xml:space="preserve"> intention</w:t>
      </w:r>
    </w:p>
    <w:p w14:paraId="518BCACF" w14:textId="2674A801" w:rsidR="00C74F04" w:rsidRDefault="0015236A" w:rsidP="0015236A">
      <w:r>
        <w:t>Th</w:t>
      </w:r>
      <w:r w:rsidR="00BA46EC">
        <w:t>is</w:t>
      </w:r>
      <w:r>
        <w:t xml:space="preserve"> tri</w:t>
      </w:r>
      <w:r w:rsidR="00C74F04">
        <w:t>a</w:t>
      </w:r>
      <w:r>
        <w:t xml:space="preserve">l </w:t>
      </w:r>
      <w:r w:rsidR="00C74F04">
        <w:t>form</w:t>
      </w:r>
      <w:r w:rsidR="00415585">
        <w:t>s</w:t>
      </w:r>
      <w:r w:rsidR="00C74F04">
        <w:t xml:space="preserve"> part of a series</w:t>
      </w:r>
      <w:r>
        <w:t xml:space="preserve"> of </w:t>
      </w:r>
      <w:r w:rsidR="00BA46EC">
        <w:t>efforts</w:t>
      </w:r>
      <w:r>
        <w:t xml:space="preserve"> to develop a “sweet spot” between traditional agricultural food production practices and the need to ensure that Somerset’s peat is retained i</w:t>
      </w:r>
      <w:r w:rsidR="00C74F04">
        <w:t>n</w:t>
      </w:r>
      <w:r>
        <w:t xml:space="preserve"> good condition</w:t>
      </w:r>
      <w:r w:rsidR="00C74F04">
        <w:t>,</w:t>
      </w:r>
      <w:r>
        <w:t xml:space="preserve"> in perpetuity.</w:t>
      </w:r>
    </w:p>
    <w:p w14:paraId="5CA5F9C2" w14:textId="3AC79D79" w:rsidR="0015236A" w:rsidRPr="0015236A" w:rsidRDefault="00BA46EC" w:rsidP="0015236A">
      <w:r>
        <w:t xml:space="preserve">The following options </w:t>
      </w:r>
      <w:r w:rsidR="00415585">
        <w:t>should be</w:t>
      </w:r>
      <w:r>
        <w:t xml:space="preserve"> considered strong</w:t>
      </w:r>
      <w:r w:rsidR="00415585">
        <w:t>,</w:t>
      </w:r>
      <w:r>
        <w:t xml:space="preserve"> first step candidates in better defining that balance point within a local context </w:t>
      </w:r>
      <w:r w:rsidR="00C74F04">
        <w:t>and</w:t>
      </w:r>
      <w:r>
        <w:t xml:space="preserve"> are to likely be foundational elements of the final framework</w:t>
      </w:r>
      <w:r w:rsidR="00415585">
        <w:t xml:space="preserve">.  That said, this process is firmly evidenced based </w:t>
      </w:r>
      <w:r w:rsidR="00AA40EC">
        <w:t>therefore</w:t>
      </w:r>
      <w:r w:rsidR="00415585">
        <w:t xml:space="preserve"> these</w:t>
      </w:r>
      <w:r>
        <w:t xml:space="preserve"> are not beyond challenge, addition or alteration</w:t>
      </w:r>
      <w:r w:rsidR="00C74F04">
        <w:t xml:space="preserve">, </w:t>
      </w:r>
      <w:r w:rsidR="00415585">
        <w:t xml:space="preserve">so </w:t>
      </w:r>
      <w:r w:rsidR="00C74F04">
        <w:t>please view them in that spirit</w:t>
      </w:r>
      <w:r w:rsidR="00415585">
        <w:t>.</w:t>
      </w:r>
    </w:p>
    <w:p w14:paraId="6F0A9EA6" w14:textId="1D43A8B2" w:rsidR="0015236A" w:rsidRDefault="00044833" w:rsidP="00C016E1">
      <w:pPr>
        <w:pStyle w:val="Heading2"/>
      </w:pPr>
      <w:r>
        <w:t>DISAMBIGUATION:</w:t>
      </w:r>
    </w:p>
    <w:p w14:paraId="47AB6FB5" w14:textId="2FCE5EC9" w:rsidR="00044833" w:rsidRDefault="00763B02" w:rsidP="00646991">
      <w:r>
        <w:t xml:space="preserve">Freeboard - </w:t>
      </w:r>
      <w:r w:rsidR="00044833">
        <w:t>In the context of this document</w:t>
      </w:r>
      <w:r>
        <w:t xml:space="preserve">, the term “freeboard” </w:t>
      </w:r>
      <w:r w:rsidR="0071629B">
        <w:t xml:space="preserve">exclusively means the difference between spot average water height </w:t>
      </w:r>
      <w:r w:rsidR="00E66A43">
        <w:t xml:space="preserve">in the local ditch network </w:t>
      </w:r>
      <w:r w:rsidR="0071629B">
        <w:t xml:space="preserve">and spot average field </w:t>
      </w:r>
      <w:r w:rsidR="00E66A43">
        <w:t xml:space="preserve">level of each </w:t>
      </w:r>
      <w:r w:rsidR="004A1250">
        <w:t>land parcel</w:t>
      </w:r>
      <w:r w:rsidR="00E66A43">
        <w:t>.</w:t>
      </w:r>
      <w:r w:rsidR="004A1250">
        <w:t xml:space="preserve">  It is most readily calculated using IDB water level telemetry and LiDAR </w:t>
      </w:r>
      <w:r w:rsidR="00D352C8">
        <w:t>scans of each land parcel.</w:t>
      </w:r>
    </w:p>
    <w:p w14:paraId="17D9BE59" w14:textId="77777777" w:rsidR="0015236A" w:rsidRPr="00F72958" w:rsidRDefault="0015236A" w:rsidP="0015236A">
      <w:pPr>
        <w:pStyle w:val="Heading2"/>
      </w:pPr>
      <w:r>
        <w:t>Options specification</w:t>
      </w:r>
    </w:p>
    <w:p w14:paraId="096AF0C7" w14:textId="7ADF2582" w:rsidR="0015236A" w:rsidRDefault="0015236A" w:rsidP="0015236A">
      <w:pPr>
        <w:pStyle w:val="Heading3"/>
        <w:rPr>
          <w:rFonts w:eastAsia="Times New Roman"/>
        </w:rPr>
      </w:pPr>
      <w:r>
        <w:rPr>
          <w:rFonts w:eastAsia="Times New Roman"/>
        </w:rPr>
        <w:t xml:space="preserve">Option </w:t>
      </w:r>
      <w:r w:rsidR="000E6F2D">
        <w:rPr>
          <w:rFonts w:eastAsia="Times New Roman"/>
        </w:rPr>
        <w:t>1</w:t>
      </w:r>
      <w:r>
        <w:rPr>
          <w:rFonts w:eastAsia="Times New Roman"/>
        </w:rPr>
        <w:t xml:space="preserve"> </w:t>
      </w:r>
      <w:r w:rsidR="00C74F04">
        <w:rPr>
          <w:rFonts w:eastAsia="Times New Roman"/>
        </w:rPr>
        <w:t>–</w:t>
      </w:r>
      <w:r>
        <w:rPr>
          <w:rFonts w:eastAsia="Times New Roman"/>
        </w:rPr>
        <w:t xml:space="preserve"> </w:t>
      </w:r>
      <w:r w:rsidR="00C74F04">
        <w:rPr>
          <w:rFonts w:eastAsia="Times New Roman"/>
        </w:rPr>
        <w:t>Summer water pen increase</w:t>
      </w:r>
    </w:p>
    <w:p w14:paraId="66A3B9F6" w14:textId="4245ACF8" w:rsidR="0015236A" w:rsidRDefault="0015236A" w:rsidP="0015236A">
      <w:pPr>
        <w:pStyle w:val="Heading4"/>
      </w:pPr>
      <w:r>
        <w:t>Value</w:t>
      </w:r>
    </w:p>
    <w:tbl>
      <w:tblPr>
        <w:tblStyle w:val="TableGrid"/>
        <w:tblW w:w="0" w:type="auto"/>
        <w:tblLook w:val="04A0" w:firstRow="1" w:lastRow="0" w:firstColumn="1" w:lastColumn="0" w:noHBand="0" w:noVBand="1"/>
      </w:tblPr>
      <w:tblGrid>
        <w:gridCol w:w="4508"/>
        <w:gridCol w:w="4508"/>
      </w:tblGrid>
      <w:tr w:rsidR="00196E14" w14:paraId="0E68F5AE" w14:textId="77777777" w:rsidTr="00196E14">
        <w:tc>
          <w:tcPr>
            <w:tcW w:w="4508" w:type="dxa"/>
          </w:tcPr>
          <w:p w14:paraId="489357CA" w14:textId="6306C36D" w:rsidR="00196E14" w:rsidRPr="00C016E1" w:rsidRDefault="00196E14" w:rsidP="00C016E1">
            <w:pPr>
              <w:jc w:val="center"/>
              <w:rPr>
                <w:b/>
                <w:bCs/>
              </w:rPr>
            </w:pPr>
            <w:r w:rsidRPr="00C016E1">
              <w:rPr>
                <w:b/>
                <w:bCs/>
              </w:rPr>
              <w:t>Freeboard after increasing water level</w:t>
            </w:r>
          </w:p>
        </w:tc>
        <w:tc>
          <w:tcPr>
            <w:tcW w:w="4508" w:type="dxa"/>
          </w:tcPr>
          <w:p w14:paraId="579BC888" w14:textId="14B5BFDC" w:rsidR="00196E14" w:rsidRPr="00C016E1" w:rsidRDefault="00521A37" w:rsidP="00C016E1">
            <w:pPr>
              <w:jc w:val="center"/>
              <w:rPr>
                <w:b/>
                <w:bCs/>
              </w:rPr>
            </w:pPr>
            <w:r w:rsidRPr="00C016E1">
              <w:rPr>
                <w:b/>
                <w:bCs/>
              </w:rPr>
              <w:t>Payment rate £/ha</w:t>
            </w:r>
          </w:p>
        </w:tc>
      </w:tr>
      <w:tr w:rsidR="00196E14" w14:paraId="7C04F5C8" w14:textId="77777777" w:rsidTr="00196E14">
        <w:tc>
          <w:tcPr>
            <w:tcW w:w="4508" w:type="dxa"/>
          </w:tcPr>
          <w:p w14:paraId="6BA5D9BE" w14:textId="7D1665F5" w:rsidR="00196E14" w:rsidRDefault="00A244AA" w:rsidP="00C016E1">
            <w:pPr>
              <w:jc w:val="center"/>
            </w:pPr>
            <w:r>
              <w:t>599-500</w:t>
            </w:r>
          </w:p>
        </w:tc>
        <w:tc>
          <w:tcPr>
            <w:tcW w:w="4508" w:type="dxa"/>
          </w:tcPr>
          <w:p w14:paraId="549F3D71" w14:textId="0BEF610C" w:rsidR="00196E14" w:rsidRDefault="00825AE0" w:rsidP="00C016E1">
            <w:pPr>
              <w:jc w:val="center"/>
            </w:pPr>
            <w:r>
              <w:t>20</w:t>
            </w:r>
          </w:p>
        </w:tc>
      </w:tr>
      <w:tr w:rsidR="00196E14" w14:paraId="59B21F56" w14:textId="77777777" w:rsidTr="00196E14">
        <w:tc>
          <w:tcPr>
            <w:tcW w:w="4508" w:type="dxa"/>
          </w:tcPr>
          <w:p w14:paraId="655602C6" w14:textId="446C75C7" w:rsidR="00196E14" w:rsidRDefault="00A244AA" w:rsidP="00C016E1">
            <w:pPr>
              <w:jc w:val="center"/>
            </w:pPr>
            <w:r>
              <w:t>499-400</w:t>
            </w:r>
          </w:p>
        </w:tc>
        <w:tc>
          <w:tcPr>
            <w:tcW w:w="4508" w:type="dxa"/>
          </w:tcPr>
          <w:p w14:paraId="2FB54F5B" w14:textId="7082D142" w:rsidR="00196E14" w:rsidRDefault="00825AE0" w:rsidP="00C016E1">
            <w:pPr>
              <w:jc w:val="center"/>
            </w:pPr>
            <w:r>
              <w:t>30</w:t>
            </w:r>
          </w:p>
        </w:tc>
      </w:tr>
      <w:tr w:rsidR="00196E14" w14:paraId="35C49E48" w14:textId="77777777" w:rsidTr="00196E14">
        <w:tc>
          <w:tcPr>
            <w:tcW w:w="4508" w:type="dxa"/>
          </w:tcPr>
          <w:p w14:paraId="216918CF" w14:textId="0C13CC61" w:rsidR="00196E14" w:rsidRDefault="00A244AA" w:rsidP="00C016E1">
            <w:pPr>
              <w:jc w:val="center"/>
            </w:pPr>
            <w:r>
              <w:t>399-300</w:t>
            </w:r>
          </w:p>
        </w:tc>
        <w:tc>
          <w:tcPr>
            <w:tcW w:w="4508" w:type="dxa"/>
          </w:tcPr>
          <w:p w14:paraId="57E98C9F" w14:textId="5C70A973" w:rsidR="00196E14" w:rsidRDefault="00825AE0" w:rsidP="00C016E1">
            <w:pPr>
              <w:jc w:val="center"/>
            </w:pPr>
            <w:r>
              <w:t>60</w:t>
            </w:r>
          </w:p>
        </w:tc>
      </w:tr>
      <w:tr w:rsidR="00196E14" w14:paraId="1EB8B393" w14:textId="77777777" w:rsidTr="00196E14">
        <w:tc>
          <w:tcPr>
            <w:tcW w:w="4508" w:type="dxa"/>
          </w:tcPr>
          <w:p w14:paraId="52F906EC" w14:textId="5C6D84E1" w:rsidR="00196E14" w:rsidRDefault="00A244AA" w:rsidP="00C016E1">
            <w:pPr>
              <w:jc w:val="center"/>
            </w:pPr>
            <w:r>
              <w:t>299-200</w:t>
            </w:r>
          </w:p>
        </w:tc>
        <w:tc>
          <w:tcPr>
            <w:tcW w:w="4508" w:type="dxa"/>
          </w:tcPr>
          <w:p w14:paraId="368B729D" w14:textId="486B697E" w:rsidR="00196E14" w:rsidRDefault="00825AE0" w:rsidP="00C016E1">
            <w:pPr>
              <w:jc w:val="center"/>
            </w:pPr>
            <w:r>
              <w:t>120</w:t>
            </w:r>
          </w:p>
        </w:tc>
      </w:tr>
      <w:tr w:rsidR="00A244AA" w14:paraId="132C3355" w14:textId="77777777" w:rsidTr="00196E14">
        <w:tc>
          <w:tcPr>
            <w:tcW w:w="4508" w:type="dxa"/>
          </w:tcPr>
          <w:p w14:paraId="06527EC3" w14:textId="18C1CEFA" w:rsidR="00A244AA" w:rsidRDefault="00A244AA" w:rsidP="00C016E1">
            <w:pPr>
              <w:jc w:val="center"/>
            </w:pPr>
            <w:r>
              <w:t>199-100</w:t>
            </w:r>
          </w:p>
        </w:tc>
        <w:tc>
          <w:tcPr>
            <w:tcW w:w="4508" w:type="dxa"/>
          </w:tcPr>
          <w:p w14:paraId="25D5B923" w14:textId="7AFCD429" w:rsidR="00A244AA" w:rsidRDefault="009B4309" w:rsidP="00C016E1">
            <w:pPr>
              <w:jc w:val="center"/>
            </w:pPr>
            <w:r>
              <w:t>190</w:t>
            </w:r>
          </w:p>
        </w:tc>
      </w:tr>
      <w:tr w:rsidR="00A244AA" w14:paraId="64560867" w14:textId="77777777" w:rsidTr="00196E14">
        <w:tc>
          <w:tcPr>
            <w:tcW w:w="4508" w:type="dxa"/>
          </w:tcPr>
          <w:p w14:paraId="21B9FF86" w14:textId="201E0004" w:rsidR="00A244AA" w:rsidRDefault="00E913A5" w:rsidP="00C016E1">
            <w:pPr>
              <w:jc w:val="center"/>
            </w:pPr>
            <w:r>
              <w:t>99-0</w:t>
            </w:r>
          </w:p>
        </w:tc>
        <w:tc>
          <w:tcPr>
            <w:tcW w:w="4508" w:type="dxa"/>
          </w:tcPr>
          <w:p w14:paraId="778C81A1" w14:textId="49DAD124" w:rsidR="00A244AA" w:rsidRDefault="009B4309" w:rsidP="00C016E1">
            <w:pPr>
              <w:jc w:val="center"/>
            </w:pPr>
            <w:r>
              <w:t>420</w:t>
            </w:r>
          </w:p>
        </w:tc>
      </w:tr>
    </w:tbl>
    <w:p w14:paraId="06098B53" w14:textId="5EC8CB11" w:rsidR="000800CD" w:rsidRDefault="000800CD" w:rsidP="00C016E1"/>
    <w:p w14:paraId="582328AF" w14:textId="77777777" w:rsidR="000800CD" w:rsidRDefault="000800CD">
      <w:r>
        <w:br w:type="page"/>
      </w:r>
    </w:p>
    <w:p w14:paraId="178C16B6" w14:textId="3C2D457F" w:rsidR="00AA40EC" w:rsidRDefault="00AA40EC" w:rsidP="00AA40EC">
      <w:pPr>
        <w:pStyle w:val="Heading4"/>
      </w:pPr>
      <w:r>
        <w:lastRenderedPageBreak/>
        <w:t>Option intent</w:t>
      </w:r>
    </w:p>
    <w:p w14:paraId="2FCFF4C6" w14:textId="5A33774F" w:rsidR="00BE6D8E" w:rsidRPr="00C016E1" w:rsidRDefault="00BE6D8E" w:rsidP="00BE6D8E">
      <w:pPr>
        <w:rPr>
          <w:b/>
          <w:bCs/>
        </w:rPr>
      </w:pPr>
      <w:r w:rsidRPr="00C016E1">
        <w:rPr>
          <w:b/>
          <w:bCs/>
        </w:rPr>
        <w:t>IMPORTANT NOTE – This trial is about changes to in</w:t>
      </w:r>
      <w:r w:rsidR="000800CD">
        <w:rPr>
          <w:b/>
          <w:bCs/>
        </w:rPr>
        <w:t>-</w:t>
      </w:r>
      <w:r w:rsidRPr="00C016E1">
        <w:rPr>
          <w:b/>
          <w:bCs/>
        </w:rPr>
        <w:t xml:space="preserve">channel </w:t>
      </w:r>
      <w:r>
        <w:rPr>
          <w:b/>
          <w:bCs/>
        </w:rPr>
        <w:t xml:space="preserve">water levels </w:t>
      </w:r>
      <w:r w:rsidRPr="00C016E1">
        <w:rPr>
          <w:b/>
          <w:bCs/>
          <w:u w:val="single"/>
        </w:rPr>
        <w:t>only</w:t>
      </w:r>
      <w:r w:rsidR="009C2A73">
        <w:rPr>
          <w:b/>
          <w:bCs/>
        </w:rPr>
        <w:t xml:space="preserve"> i.e.</w:t>
      </w:r>
      <w:r w:rsidRPr="00C016E1">
        <w:rPr>
          <w:b/>
          <w:bCs/>
        </w:rPr>
        <w:t xml:space="preserve"> </w:t>
      </w:r>
      <w:r w:rsidR="009C2A73">
        <w:rPr>
          <w:b/>
          <w:bCs/>
        </w:rPr>
        <w:t xml:space="preserve">modest changes </w:t>
      </w:r>
      <w:r w:rsidRPr="00C016E1">
        <w:rPr>
          <w:b/>
          <w:bCs/>
        </w:rPr>
        <w:t>t</w:t>
      </w:r>
      <w:r>
        <w:rPr>
          <w:b/>
          <w:bCs/>
        </w:rPr>
        <w:t>hat allow the continuation of extensive farming.  T</w:t>
      </w:r>
      <w:r w:rsidRPr="00C016E1">
        <w:rPr>
          <w:b/>
          <w:bCs/>
        </w:rPr>
        <w:t>here is no intent to overtop dich</w:t>
      </w:r>
      <w:r>
        <w:rPr>
          <w:b/>
          <w:bCs/>
        </w:rPr>
        <w:t xml:space="preserve"> banks</w:t>
      </w:r>
      <w:r w:rsidRPr="00C016E1">
        <w:rPr>
          <w:b/>
          <w:bCs/>
        </w:rPr>
        <w:t xml:space="preserve"> and spread water on the land</w:t>
      </w:r>
      <w:r w:rsidR="00451C69">
        <w:rPr>
          <w:b/>
          <w:bCs/>
        </w:rPr>
        <w:t xml:space="preserve"> at any point</w:t>
      </w:r>
      <w:r w:rsidRPr="00C016E1">
        <w:rPr>
          <w:b/>
          <w:bCs/>
        </w:rPr>
        <w:t>.</w:t>
      </w:r>
    </w:p>
    <w:p w14:paraId="75D13FD1" w14:textId="599C7849" w:rsidR="00BE6D8E" w:rsidRDefault="00BE6D8E" w:rsidP="00AA40EC">
      <w:r>
        <w:t xml:space="preserve">When peats soils are exposed to </w:t>
      </w:r>
      <w:r w:rsidR="00451C69">
        <w:t xml:space="preserve">oxygen in the </w:t>
      </w:r>
      <w:r>
        <w:t>air, they begin an irreversible process of decomposition</w:t>
      </w:r>
      <w:r w:rsidR="00630219">
        <w:t>, turning the peat soil into atmospheric CO</w:t>
      </w:r>
      <w:r w:rsidR="00630219" w:rsidRPr="00C016E1">
        <w:rPr>
          <w:vertAlign w:val="subscript"/>
        </w:rPr>
        <w:t>2</w:t>
      </w:r>
      <w:r w:rsidR="00630219">
        <w:t>.</w:t>
      </w:r>
    </w:p>
    <w:p w14:paraId="1AB6093E" w14:textId="19BD4AB5" w:rsidR="00BE6D8E" w:rsidRDefault="00AA40EC" w:rsidP="00AA40EC">
      <w:r>
        <w:t xml:space="preserve">A higher water table reduces the amount of peat exposed to the </w:t>
      </w:r>
      <w:r w:rsidR="00FE1CBB">
        <w:t>oxygen</w:t>
      </w:r>
      <w:r w:rsidR="00630219">
        <w:t xml:space="preserve"> </w:t>
      </w:r>
      <w:r>
        <w:t xml:space="preserve">and thus </w:t>
      </w:r>
      <w:r w:rsidR="00630219">
        <w:t>reduce</w:t>
      </w:r>
      <w:r w:rsidR="00FE1CBB">
        <w:t>s</w:t>
      </w:r>
      <w:r w:rsidR="00630219">
        <w:t xml:space="preserve"> the amount of peat that </w:t>
      </w:r>
      <w:r>
        <w:t>is able to decompose.  By raising water table</w:t>
      </w:r>
      <w:r w:rsidR="00BE6D8E">
        <w:t>s</w:t>
      </w:r>
      <w:r w:rsidR="009C2A73">
        <w:t>,</w:t>
      </w:r>
      <w:r>
        <w:t xml:space="preserve"> less peat is exposed and so less eCO</w:t>
      </w:r>
      <w:r w:rsidRPr="00691301">
        <w:rPr>
          <w:vertAlign w:val="subscript"/>
        </w:rPr>
        <w:t>2</w:t>
      </w:r>
      <w:r>
        <w:t xml:space="preserve"> is </w:t>
      </w:r>
      <w:r w:rsidR="00BE6D8E">
        <w:t>emitted</w:t>
      </w:r>
      <w:r>
        <w:t xml:space="preserve"> each year</w:t>
      </w:r>
      <w:r w:rsidR="00BE6D8E">
        <w:rPr>
          <w:rStyle w:val="FootnoteReference"/>
        </w:rPr>
        <w:footnoteReference w:id="2"/>
      </w:r>
      <w:r w:rsidR="00630219">
        <w:t xml:space="preserve"> by the soil.</w:t>
      </w:r>
    </w:p>
    <w:p w14:paraId="7A9434ED" w14:textId="0AAB724B" w:rsidR="00AA40EC" w:rsidRDefault="00AA40EC" w:rsidP="00AA40EC">
      <w:r w:rsidRPr="00995610">
        <w:t xml:space="preserve">This </w:t>
      </w:r>
      <w:r w:rsidR="00630219">
        <w:t xml:space="preserve">peat management </w:t>
      </w:r>
      <w:r w:rsidRPr="00995610">
        <w:t>option is intended to minimise</w:t>
      </w:r>
      <w:r>
        <w:t xml:space="preserve"> the quantity of subsurface peat exposed to the air, </w:t>
      </w:r>
      <w:r w:rsidR="00BE6D8E">
        <w:t>whilst</w:t>
      </w:r>
      <w:r>
        <w:t xml:space="preserve"> minimising the disruption to existing farming </w:t>
      </w:r>
      <w:r w:rsidR="00A961C4">
        <w:t>on</w:t>
      </w:r>
      <w:r>
        <w:t xml:space="preserve"> the surface.</w:t>
      </w:r>
    </w:p>
    <w:p w14:paraId="7ECABFFB" w14:textId="25409096" w:rsidR="00BE6D8E" w:rsidRDefault="00BE6D8E" w:rsidP="00AA40EC">
      <w:r>
        <w:t>A key component of th</w:t>
      </w:r>
      <w:r w:rsidR="00630219">
        <w:t>is</w:t>
      </w:r>
      <w:r>
        <w:t xml:space="preserve"> option is </w:t>
      </w:r>
      <w:r w:rsidR="00575903">
        <w:t>a</w:t>
      </w:r>
      <w:r>
        <w:t xml:space="preserve"> </w:t>
      </w:r>
      <w:r w:rsidR="00630219">
        <w:t xml:space="preserve">novel </w:t>
      </w:r>
      <w:r>
        <w:t>field by field calculation of freeboard, to more accurately represent the impact on the farming systems on the surface of the land.</w:t>
      </w:r>
      <w:r w:rsidR="0082098F">
        <w:t xml:space="preserve">  This approach has been coupled with high accuracy LiDAR data collection to ensure that field levels are mapped as accurately as is possible.</w:t>
      </w:r>
    </w:p>
    <w:p w14:paraId="0F91FD05" w14:textId="75243E9C" w:rsidR="00BE6D8E" w:rsidRPr="00AA40EC" w:rsidRDefault="00BE6D8E" w:rsidP="00C016E1">
      <w:r>
        <w:t xml:space="preserve">The sliding scale of payment rates is intended to reflect the increased challenge of farming on soils with a higher water table.  This will mean that </w:t>
      </w:r>
      <w:r w:rsidR="00630219">
        <w:t>landowners</w:t>
      </w:r>
      <w:r>
        <w:t xml:space="preserve"> who are willing and able to tolerate a very high water table will be better rewarded for keeping more peat stable</w:t>
      </w:r>
      <w:r w:rsidR="0082098F">
        <w:t xml:space="preserve">.  It is also </w:t>
      </w:r>
      <w:r w:rsidR="00326784">
        <w:t>intended</w:t>
      </w:r>
      <w:r w:rsidR="0082098F">
        <w:t xml:space="preserve"> that </w:t>
      </w:r>
      <w:r>
        <w:t xml:space="preserve">those with the most low lying fields </w:t>
      </w:r>
      <w:r w:rsidR="0082098F">
        <w:t>w</w:t>
      </w:r>
      <w:r>
        <w:t xml:space="preserve">ill be better rewarded for </w:t>
      </w:r>
      <w:r w:rsidR="00326784">
        <w:t>accepting low freeboard levels</w:t>
      </w:r>
      <w:r w:rsidR="00DC3915">
        <w:t xml:space="preserve"> thereby </w:t>
      </w:r>
      <w:r>
        <w:t xml:space="preserve">unlocking </w:t>
      </w:r>
      <w:r w:rsidR="0082098F">
        <w:t xml:space="preserve">the potential for </w:t>
      </w:r>
      <w:r>
        <w:t>wider change across a hydrological block</w:t>
      </w:r>
      <w:r w:rsidR="0082098F">
        <w:t>, and thus the preservation of more peat soil.</w:t>
      </w:r>
    </w:p>
    <w:p w14:paraId="5FF2DF6D" w14:textId="7BEE6AC5" w:rsidR="0015236A" w:rsidRDefault="0015236A" w:rsidP="0015236A">
      <w:pPr>
        <w:pStyle w:val="Heading4"/>
        <w:rPr>
          <w:rFonts w:eastAsia="Times New Roman"/>
        </w:rPr>
      </w:pPr>
      <w:r>
        <w:rPr>
          <w:rFonts w:eastAsia="Times New Roman"/>
        </w:rPr>
        <w:t>Option description</w:t>
      </w:r>
    </w:p>
    <w:p w14:paraId="0483017B" w14:textId="7AAF3208" w:rsidR="00FA79D0" w:rsidRPr="00C016E1" w:rsidRDefault="00FA79D0" w:rsidP="00C016E1">
      <w:r>
        <w:t xml:space="preserve">The raising of </w:t>
      </w:r>
      <w:r w:rsidR="00DC3915">
        <w:t>s</w:t>
      </w:r>
      <w:r>
        <w:t xml:space="preserve">ummer </w:t>
      </w:r>
      <w:r w:rsidR="00DC3915">
        <w:t>p</w:t>
      </w:r>
      <w:r>
        <w:t xml:space="preserve">en water level across a hydrological block to facilitate the preservation of </w:t>
      </w:r>
      <w:r w:rsidR="00D92DE2">
        <w:t>peat soil under existing agricultural management.</w:t>
      </w:r>
    </w:p>
    <w:p w14:paraId="3DC9F607" w14:textId="533B98F9" w:rsidR="00AA40EC" w:rsidRPr="00C74F04" w:rsidRDefault="00E913A5" w:rsidP="00C016E1">
      <w:r>
        <w:t xml:space="preserve">Payment to </w:t>
      </w:r>
      <w:r w:rsidR="00C1738E">
        <w:t>only cover instances where the average mean water table is increased above that listed in the most current IBD WLMP for that are</w:t>
      </w:r>
      <w:r w:rsidR="0082098F">
        <w:t>a</w:t>
      </w:r>
      <w:r w:rsidR="00C1738E">
        <w:t>, or th</w:t>
      </w:r>
      <w:r w:rsidR="00611BFF">
        <w:t>e measured average level from the last three years</w:t>
      </w:r>
      <w:r w:rsidR="00AA40EC">
        <w:t>.  Where possible, IDB in ditch water level telemetry will be deemed a full and fair record of ditch levels unless agreed in writing with the FWAG team in advance.  In the absence of IDB telemetry, monthly photos of water levels at pre-agreed gauge boards will suffice.</w:t>
      </w:r>
    </w:p>
    <w:p w14:paraId="5DC911AE" w14:textId="4CF1ECAB" w:rsidR="00556122" w:rsidRDefault="00556122" w:rsidP="00C56672">
      <w:pPr>
        <w:rPr>
          <w:rFonts w:eastAsia="Times New Roman"/>
        </w:rPr>
      </w:pPr>
    </w:p>
    <w:p w14:paraId="506D1431" w14:textId="5B8C5A7C" w:rsidR="0015236A" w:rsidRDefault="0015236A" w:rsidP="0015236A">
      <w:pPr>
        <w:pStyle w:val="Heading4"/>
        <w:rPr>
          <w:rFonts w:eastAsia="Times New Roman"/>
        </w:rPr>
      </w:pPr>
      <w:r>
        <w:rPr>
          <w:rFonts w:eastAsia="Times New Roman"/>
        </w:rPr>
        <w:t>Qualification requirements</w:t>
      </w:r>
    </w:p>
    <w:p w14:paraId="03AC8B26" w14:textId="7AC069AB" w:rsidR="0015236A" w:rsidRDefault="00FC5D73" w:rsidP="00C016E1">
      <w:pPr>
        <w:rPr>
          <w:rFonts w:eastAsia="Times New Roman"/>
        </w:rPr>
      </w:pPr>
      <w:r>
        <w:tab/>
      </w:r>
      <w:r w:rsidR="0015236A">
        <w:rPr>
          <w:rFonts w:eastAsia="Times New Roman"/>
        </w:rPr>
        <w:t xml:space="preserve">Qualification for payment will be dependent on all </w:t>
      </w:r>
      <w:r w:rsidR="00CD1BB5">
        <w:rPr>
          <w:rFonts w:eastAsia="Times New Roman"/>
        </w:rPr>
        <w:t xml:space="preserve">following </w:t>
      </w:r>
      <w:r w:rsidR="0015236A">
        <w:rPr>
          <w:rFonts w:eastAsia="Times New Roman"/>
        </w:rPr>
        <w:t>trigger points</w:t>
      </w:r>
      <w:r w:rsidR="00CD1BB5">
        <w:rPr>
          <w:rFonts w:eastAsia="Times New Roman"/>
        </w:rPr>
        <w:t xml:space="preserve"> being met</w:t>
      </w:r>
      <w:r w:rsidR="00556122">
        <w:rPr>
          <w:rFonts w:eastAsia="Times New Roman"/>
        </w:rPr>
        <w:t>:</w:t>
      </w:r>
    </w:p>
    <w:p w14:paraId="0798B02E" w14:textId="4FFF4126" w:rsidR="00630219" w:rsidRDefault="00CD1BB5" w:rsidP="0015236A">
      <w:pPr>
        <w:pStyle w:val="ListParagraph"/>
        <w:rPr>
          <w:rFonts w:eastAsia="Times New Roman"/>
          <w:i/>
          <w:iCs/>
        </w:rPr>
      </w:pPr>
      <w:r>
        <w:rPr>
          <w:rFonts w:eastAsia="Times New Roman"/>
          <w:i/>
          <w:iCs/>
        </w:rPr>
        <w:tab/>
        <w:t xml:space="preserve">On or before </w:t>
      </w:r>
      <w:r w:rsidR="00630219">
        <w:rPr>
          <w:rFonts w:eastAsia="Times New Roman"/>
          <w:i/>
          <w:iCs/>
        </w:rPr>
        <w:t>the implementation of summer pe</w:t>
      </w:r>
      <w:r w:rsidR="00630219" w:rsidRPr="00630219">
        <w:rPr>
          <w:rFonts w:eastAsia="Times New Roman"/>
          <w:i/>
          <w:iCs/>
        </w:rPr>
        <w:t>n [</w:t>
      </w:r>
      <w:r w:rsidR="00630219" w:rsidRPr="00C016E1">
        <w:rPr>
          <w:rFonts w:eastAsia="Times New Roman"/>
          <w:i/>
          <w:iCs/>
        </w:rPr>
        <w:t>1</w:t>
      </w:r>
      <w:r w:rsidR="00630219">
        <w:rPr>
          <w:rFonts w:eastAsia="Times New Roman"/>
          <w:i/>
          <w:iCs/>
        </w:rPr>
        <w:t>st</w:t>
      </w:r>
      <w:r w:rsidR="00630219" w:rsidRPr="00C016E1">
        <w:rPr>
          <w:rFonts w:eastAsia="Times New Roman"/>
          <w:i/>
          <w:iCs/>
        </w:rPr>
        <w:t xml:space="preserve"> May]</w:t>
      </w:r>
      <w:r>
        <w:rPr>
          <w:rFonts w:eastAsia="Times New Roman"/>
          <w:i/>
          <w:iCs/>
        </w:rPr>
        <w:t xml:space="preserve"> a minimum water level </w:t>
      </w:r>
      <w:r w:rsidR="00630219">
        <w:rPr>
          <w:rFonts w:eastAsia="Times New Roman"/>
          <w:i/>
          <w:iCs/>
        </w:rPr>
        <w:t xml:space="preserve">as agreed </w:t>
      </w:r>
      <w:r>
        <w:rPr>
          <w:rFonts w:eastAsia="Times New Roman"/>
          <w:i/>
          <w:iCs/>
        </w:rPr>
        <w:t xml:space="preserve">to be </w:t>
      </w:r>
      <w:r w:rsidRPr="00630219">
        <w:rPr>
          <w:rFonts w:eastAsia="Times New Roman"/>
          <w:i/>
          <w:iCs/>
        </w:rPr>
        <w:t>reache</w:t>
      </w:r>
      <w:r w:rsidR="00630219" w:rsidRPr="00630219">
        <w:rPr>
          <w:rFonts w:eastAsia="Times New Roman"/>
          <w:i/>
          <w:iCs/>
        </w:rPr>
        <w:t>d.</w:t>
      </w:r>
    </w:p>
    <w:p w14:paraId="6CE7F0E1" w14:textId="288D4C27" w:rsidR="0015236A" w:rsidRPr="00630219" w:rsidRDefault="00630219" w:rsidP="0015236A">
      <w:pPr>
        <w:pStyle w:val="ListParagraph"/>
        <w:rPr>
          <w:rFonts w:eastAsia="Times New Roman"/>
          <w:i/>
          <w:iCs/>
        </w:rPr>
      </w:pPr>
      <w:r w:rsidRPr="00630219">
        <w:rPr>
          <w:rFonts w:eastAsia="Times New Roman"/>
          <w:i/>
          <w:iCs/>
        </w:rPr>
        <w:t xml:space="preserve">Water levels to recorded via IDB telemetry where possible </w:t>
      </w:r>
      <w:r w:rsidR="00CD1BB5" w:rsidRPr="00630219">
        <w:rPr>
          <w:rFonts w:eastAsia="Times New Roman"/>
          <w:i/>
          <w:iCs/>
        </w:rPr>
        <w:t xml:space="preserve">recorded </w:t>
      </w:r>
      <w:r w:rsidRPr="00C016E1">
        <w:rPr>
          <w:i/>
          <w:iCs/>
        </w:rPr>
        <w:t xml:space="preserve">  In the absence of IDB telemetry, monthly photos of water levels at pre-agreed gauge boards will suffice.</w:t>
      </w:r>
    </w:p>
    <w:p w14:paraId="0162E953" w14:textId="77777777" w:rsidR="00556122" w:rsidRDefault="00556122" w:rsidP="0015236A">
      <w:pPr>
        <w:ind w:firstLine="720"/>
        <w:rPr>
          <w:rFonts w:eastAsia="Times New Roman"/>
          <w:b/>
          <w:bCs/>
        </w:rPr>
      </w:pPr>
    </w:p>
    <w:p w14:paraId="50639131" w14:textId="41695807" w:rsidR="0015236A" w:rsidRPr="00015BB9" w:rsidRDefault="0015236A" w:rsidP="0015236A">
      <w:pPr>
        <w:ind w:firstLine="720"/>
        <w:rPr>
          <w:rFonts w:eastAsia="Times New Roman"/>
          <w:b/>
          <w:bCs/>
        </w:rPr>
      </w:pPr>
      <w:r w:rsidRPr="00015BB9">
        <w:rPr>
          <w:rFonts w:eastAsia="Times New Roman"/>
          <w:b/>
          <w:bCs/>
        </w:rPr>
        <w:t>Major flood event exclusion:</w:t>
      </w:r>
    </w:p>
    <w:p w14:paraId="16C5DCFF" w14:textId="61E31492" w:rsidR="0015236A" w:rsidRDefault="0015236A" w:rsidP="0015236A">
      <w:pPr>
        <w:ind w:left="720"/>
        <w:rPr>
          <w:rFonts w:eastAsia="Times New Roman"/>
        </w:rPr>
      </w:pPr>
      <w:r>
        <w:rPr>
          <w:rFonts w:eastAsia="Times New Roman"/>
        </w:rPr>
        <w:t>If the flood risk increases beyond the limits of the tri</w:t>
      </w:r>
      <w:r w:rsidR="00995610">
        <w:rPr>
          <w:rFonts w:eastAsia="Times New Roman"/>
        </w:rPr>
        <w:t>a</w:t>
      </w:r>
      <w:r>
        <w:rPr>
          <w:rFonts w:eastAsia="Times New Roman"/>
        </w:rPr>
        <w:t>l</w:t>
      </w:r>
      <w:r w:rsidR="00995610">
        <w:rPr>
          <w:rFonts w:eastAsia="Times New Roman"/>
        </w:rPr>
        <w:t>,</w:t>
      </w:r>
      <w:r>
        <w:rPr>
          <w:rFonts w:eastAsia="Times New Roman"/>
        </w:rPr>
        <w:t xml:space="preserve"> any </w:t>
      </w:r>
      <w:r w:rsidR="00CD1BB5">
        <w:rPr>
          <w:rFonts w:eastAsia="Times New Roman"/>
        </w:rPr>
        <w:t xml:space="preserve">additional water stored over and above typical seasonal levels </w:t>
      </w:r>
      <w:r>
        <w:rPr>
          <w:rFonts w:eastAsia="Times New Roman"/>
        </w:rPr>
        <w:t xml:space="preserve">will be </w:t>
      </w:r>
      <w:r w:rsidR="00CD1BB5">
        <w:rPr>
          <w:rFonts w:eastAsia="Times New Roman"/>
        </w:rPr>
        <w:t>released</w:t>
      </w:r>
      <w:r>
        <w:rPr>
          <w:rFonts w:eastAsia="Times New Roman"/>
        </w:rPr>
        <w:t xml:space="preserve"> and all control will be returned to the relevant Flood Risk management Authorities.  Once flood risk has returned to normal the trial program will be resumed.  Money to be paid in any case.</w:t>
      </w:r>
    </w:p>
    <w:p w14:paraId="22DE560C" w14:textId="77777777" w:rsidR="0015236A" w:rsidRPr="00DA7D24" w:rsidRDefault="0015236A" w:rsidP="0015236A">
      <w:pPr>
        <w:ind w:left="720"/>
        <w:rPr>
          <w:rFonts w:eastAsia="Times New Roman"/>
          <w:b/>
          <w:bCs/>
        </w:rPr>
      </w:pPr>
      <w:r w:rsidRPr="00DA7D24">
        <w:rPr>
          <w:rFonts w:eastAsia="Times New Roman"/>
          <w:b/>
          <w:bCs/>
        </w:rPr>
        <w:t>Double funding</w:t>
      </w:r>
    </w:p>
    <w:p w14:paraId="4697D058" w14:textId="5639C177" w:rsidR="0015236A" w:rsidRPr="00630219" w:rsidRDefault="0015236A" w:rsidP="0015236A">
      <w:pPr>
        <w:ind w:left="720"/>
        <w:rPr>
          <w:rFonts w:eastAsia="Times New Roman"/>
        </w:rPr>
      </w:pPr>
      <w:r w:rsidRPr="008B3DD5">
        <w:rPr>
          <w:rFonts w:eastAsia="Times New Roman"/>
        </w:rPr>
        <w:t>Fields already receiving</w:t>
      </w:r>
      <w:r>
        <w:rPr>
          <w:rFonts w:eastAsia="Times New Roman"/>
        </w:rPr>
        <w:t xml:space="preserve"> DEFRA</w:t>
      </w:r>
      <w:r w:rsidRPr="008B3DD5">
        <w:rPr>
          <w:rFonts w:eastAsia="Times New Roman"/>
        </w:rPr>
        <w:t xml:space="preserve"> funding </w:t>
      </w:r>
      <w:r>
        <w:rPr>
          <w:rFonts w:eastAsia="Times New Roman"/>
        </w:rPr>
        <w:t xml:space="preserve">that </w:t>
      </w:r>
      <w:r w:rsidRPr="00630219">
        <w:rPr>
          <w:rFonts w:eastAsia="Times New Roman"/>
        </w:rPr>
        <w:t xml:space="preserve">duplicates these options (primarily </w:t>
      </w:r>
      <w:r w:rsidR="00CD1BB5" w:rsidRPr="00C016E1">
        <w:rPr>
          <w:rFonts w:eastAsia="Times New Roman"/>
        </w:rPr>
        <w:t>[</w:t>
      </w:r>
      <w:r w:rsidRPr="00C016E1">
        <w:rPr>
          <w:rFonts w:eastAsia="Times New Roman"/>
        </w:rPr>
        <w:t>HLS HK10 &amp; HK19</w:t>
      </w:r>
      <w:r w:rsidR="00641200" w:rsidRPr="00C016E1">
        <w:rPr>
          <w:rFonts w:eastAsia="Times New Roman"/>
        </w:rPr>
        <w:t>; CS -</w:t>
      </w:r>
      <w:r w:rsidR="002574BA" w:rsidRPr="00C016E1">
        <w:rPr>
          <w:rFonts w:eastAsia="Times New Roman"/>
        </w:rPr>
        <w:t xml:space="preserve"> SW18</w:t>
      </w:r>
      <w:r w:rsidR="00CD1BB5" w:rsidRPr="00C016E1">
        <w:rPr>
          <w:rFonts w:eastAsia="Times New Roman"/>
        </w:rPr>
        <w:t>]</w:t>
      </w:r>
      <w:r w:rsidRPr="00630219">
        <w:rPr>
          <w:rFonts w:eastAsia="Times New Roman"/>
        </w:rPr>
        <w:t>) will not be eligible for this measure.</w:t>
      </w:r>
    </w:p>
    <w:p w14:paraId="00BFDE5B" w14:textId="7DB5E524" w:rsidR="008D48C6" w:rsidRDefault="008D48C6" w:rsidP="0015236A">
      <w:pPr>
        <w:ind w:left="720"/>
        <w:rPr>
          <w:rFonts w:eastAsia="Times New Roman"/>
          <w:b/>
          <w:bCs/>
        </w:rPr>
      </w:pPr>
      <w:r w:rsidRPr="00C016E1">
        <w:rPr>
          <w:rFonts w:eastAsia="Times New Roman"/>
          <w:b/>
          <w:bCs/>
        </w:rPr>
        <w:t>Flood risk</w:t>
      </w:r>
      <w:r w:rsidR="004475AF" w:rsidRPr="00630219">
        <w:rPr>
          <w:rFonts w:eastAsia="Times New Roman"/>
          <w:b/>
          <w:bCs/>
        </w:rPr>
        <w:t xml:space="preserve">, </w:t>
      </w:r>
      <w:r w:rsidRPr="00C016E1">
        <w:rPr>
          <w:rFonts w:eastAsia="Times New Roman"/>
          <w:b/>
          <w:bCs/>
        </w:rPr>
        <w:t>deliverability</w:t>
      </w:r>
      <w:r w:rsidR="004475AF" w:rsidRPr="00630219">
        <w:rPr>
          <w:rFonts w:eastAsia="Times New Roman"/>
          <w:b/>
          <w:bCs/>
        </w:rPr>
        <w:t xml:space="preserve"> and unanimous consensus </w:t>
      </w:r>
      <w:r w:rsidR="004475AF">
        <w:rPr>
          <w:rFonts w:eastAsia="Times New Roman"/>
          <w:b/>
          <w:bCs/>
        </w:rPr>
        <w:t>required for scheme</w:t>
      </w:r>
    </w:p>
    <w:p w14:paraId="3AF725AA" w14:textId="07D36704" w:rsidR="00630219" w:rsidRDefault="008D48C6" w:rsidP="0015236A">
      <w:pPr>
        <w:ind w:left="720"/>
        <w:rPr>
          <w:rFonts w:eastAsia="Times New Roman"/>
        </w:rPr>
      </w:pPr>
      <w:r w:rsidRPr="00C016E1">
        <w:rPr>
          <w:rFonts w:eastAsia="Times New Roman"/>
        </w:rPr>
        <w:t xml:space="preserve">Acceptance of this option does not guarantee that payment will be available, </w:t>
      </w:r>
      <w:r>
        <w:rPr>
          <w:rFonts w:eastAsia="Times New Roman"/>
        </w:rPr>
        <w:t>or that any particular option is achievable.  It is an agreement to participate in a scheme on the proviso</w:t>
      </w:r>
      <w:r w:rsidR="00630219">
        <w:rPr>
          <w:rFonts w:eastAsia="Times New Roman"/>
        </w:rPr>
        <w:t>s that :</w:t>
      </w:r>
    </w:p>
    <w:p w14:paraId="2ED9D33A" w14:textId="77777777" w:rsidR="00630219" w:rsidRPr="00C016E1" w:rsidRDefault="00630219" w:rsidP="00C016E1">
      <w:pPr>
        <w:pStyle w:val="ListParagraph"/>
        <w:numPr>
          <w:ilvl w:val="0"/>
          <w:numId w:val="16"/>
        </w:numPr>
        <w:rPr>
          <w:rFonts w:eastAsia="Times New Roman"/>
        </w:rPr>
      </w:pPr>
      <w:r w:rsidRPr="00C016E1">
        <w:rPr>
          <w:rFonts w:eastAsia="Times New Roman"/>
        </w:rPr>
        <w:t>T</w:t>
      </w:r>
      <w:r w:rsidR="008D48C6" w:rsidRPr="00C016E1">
        <w:rPr>
          <w:rFonts w:eastAsia="Times New Roman"/>
        </w:rPr>
        <w:t>h</w:t>
      </w:r>
      <w:r w:rsidRPr="00C016E1">
        <w:rPr>
          <w:rFonts w:eastAsia="Times New Roman"/>
        </w:rPr>
        <w:t>e</w:t>
      </w:r>
      <w:r w:rsidR="008D48C6" w:rsidRPr="00C016E1">
        <w:rPr>
          <w:rFonts w:eastAsia="Times New Roman"/>
        </w:rPr>
        <w:t xml:space="preserve"> IDB and EA consent to run said scheme are granted</w:t>
      </w:r>
      <w:r w:rsidRPr="00C016E1">
        <w:rPr>
          <w:rFonts w:eastAsia="Times New Roman"/>
        </w:rPr>
        <w:t>,</w:t>
      </w:r>
    </w:p>
    <w:p w14:paraId="4567802B" w14:textId="77777777" w:rsidR="00630219" w:rsidRPr="00C016E1" w:rsidRDefault="00630219" w:rsidP="00C016E1">
      <w:pPr>
        <w:pStyle w:val="ListParagraph"/>
        <w:numPr>
          <w:ilvl w:val="0"/>
          <w:numId w:val="16"/>
        </w:numPr>
        <w:rPr>
          <w:rFonts w:eastAsia="Times New Roman"/>
        </w:rPr>
      </w:pPr>
      <w:r w:rsidRPr="00C016E1">
        <w:rPr>
          <w:rFonts w:eastAsia="Times New Roman"/>
        </w:rPr>
        <w:t>The water level management system is capable of delivering the changes required</w:t>
      </w:r>
      <w:r w:rsidR="008D48C6" w:rsidRPr="00C016E1">
        <w:rPr>
          <w:rFonts w:eastAsia="Times New Roman"/>
        </w:rPr>
        <w:t>.</w:t>
      </w:r>
    </w:p>
    <w:p w14:paraId="256A0AC6" w14:textId="3ABA2FCE" w:rsidR="008D48C6" w:rsidRPr="00C016E1" w:rsidRDefault="00630219" w:rsidP="00C016E1">
      <w:pPr>
        <w:pStyle w:val="ListParagraph"/>
        <w:numPr>
          <w:ilvl w:val="0"/>
          <w:numId w:val="16"/>
        </w:numPr>
        <w:rPr>
          <w:rFonts w:eastAsia="Times New Roman"/>
        </w:rPr>
      </w:pPr>
      <w:r w:rsidRPr="00C016E1">
        <w:rPr>
          <w:rFonts w:eastAsia="Times New Roman"/>
        </w:rPr>
        <w:t>There is a</w:t>
      </w:r>
      <w:r w:rsidR="008D48C6" w:rsidRPr="00C016E1">
        <w:rPr>
          <w:rFonts w:eastAsia="Times New Roman"/>
        </w:rPr>
        <w:t xml:space="preserve">greement </w:t>
      </w:r>
      <w:r w:rsidR="004475AF" w:rsidRPr="00C016E1">
        <w:rPr>
          <w:rFonts w:eastAsia="Times New Roman"/>
        </w:rPr>
        <w:t xml:space="preserve">amongst all </w:t>
      </w:r>
      <w:r w:rsidRPr="00630219">
        <w:rPr>
          <w:rFonts w:eastAsia="Times New Roman"/>
        </w:rPr>
        <w:t>landowners</w:t>
      </w:r>
      <w:r w:rsidR="004475AF" w:rsidRPr="00C016E1">
        <w:rPr>
          <w:rFonts w:eastAsia="Times New Roman"/>
        </w:rPr>
        <w:t xml:space="preserve"> regarding the specific changes to the water level management plan are also a prerequisite for commencement of the scheme and thus payment.</w:t>
      </w:r>
    </w:p>
    <w:p w14:paraId="48152BF8" w14:textId="15A3102B" w:rsidR="006741A8" w:rsidRDefault="006741A8" w:rsidP="006741A8">
      <w:pPr>
        <w:pStyle w:val="Heading3"/>
        <w:rPr>
          <w:rFonts w:eastAsia="Times New Roman"/>
        </w:rPr>
      </w:pPr>
      <w:r>
        <w:rPr>
          <w:rFonts w:eastAsia="Times New Roman"/>
        </w:rPr>
        <w:t>Option 3 – Winter water pen increase:</w:t>
      </w:r>
    </w:p>
    <w:p w14:paraId="6F44A687" w14:textId="77777777" w:rsidR="006741A8" w:rsidRDefault="006741A8" w:rsidP="006741A8">
      <w:pPr>
        <w:pStyle w:val="Heading4"/>
      </w:pPr>
      <w:r>
        <w:t>Value</w:t>
      </w:r>
    </w:p>
    <w:tbl>
      <w:tblPr>
        <w:tblStyle w:val="TableGrid"/>
        <w:tblW w:w="0" w:type="auto"/>
        <w:tblLook w:val="04A0" w:firstRow="1" w:lastRow="0" w:firstColumn="1" w:lastColumn="0" w:noHBand="0" w:noVBand="1"/>
      </w:tblPr>
      <w:tblGrid>
        <w:gridCol w:w="4508"/>
        <w:gridCol w:w="4508"/>
      </w:tblGrid>
      <w:tr w:rsidR="00374C34" w14:paraId="6BDC17F9" w14:textId="77777777" w:rsidTr="006C341F">
        <w:tc>
          <w:tcPr>
            <w:tcW w:w="4508" w:type="dxa"/>
          </w:tcPr>
          <w:p w14:paraId="59C5C3A0" w14:textId="77777777" w:rsidR="00374C34" w:rsidRPr="00D95631" w:rsidRDefault="00374C34" w:rsidP="006C341F">
            <w:pPr>
              <w:jc w:val="center"/>
              <w:rPr>
                <w:b/>
                <w:bCs/>
              </w:rPr>
            </w:pPr>
            <w:r w:rsidRPr="00D95631">
              <w:rPr>
                <w:b/>
                <w:bCs/>
              </w:rPr>
              <w:t>Freeboard after increasing water level</w:t>
            </w:r>
          </w:p>
        </w:tc>
        <w:tc>
          <w:tcPr>
            <w:tcW w:w="4508" w:type="dxa"/>
          </w:tcPr>
          <w:p w14:paraId="12EEBD2D" w14:textId="77777777" w:rsidR="00374C34" w:rsidRPr="00D95631" w:rsidRDefault="00374C34" w:rsidP="006C341F">
            <w:pPr>
              <w:jc w:val="center"/>
              <w:rPr>
                <w:b/>
                <w:bCs/>
              </w:rPr>
            </w:pPr>
            <w:r w:rsidRPr="00D95631">
              <w:rPr>
                <w:b/>
                <w:bCs/>
              </w:rPr>
              <w:t>Payment rate £/ha</w:t>
            </w:r>
          </w:p>
        </w:tc>
      </w:tr>
      <w:tr w:rsidR="00374C34" w14:paraId="6903B217" w14:textId="77777777" w:rsidTr="006C341F">
        <w:tc>
          <w:tcPr>
            <w:tcW w:w="4508" w:type="dxa"/>
          </w:tcPr>
          <w:p w14:paraId="7590A73C" w14:textId="77777777" w:rsidR="00374C34" w:rsidRDefault="00374C34" w:rsidP="006C341F">
            <w:pPr>
              <w:jc w:val="center"/>
            </w:pPr>
            <w:r>
              <w:t>599-500</w:t>
            </w:r>
          </w:p>
        </w:tc>
        <w:tc>
          <w:tcPr>
            <w:tcW w:w="4508" w:type="dxa"/>
          </w:tcPr>
          <w:p w14:paraId="496CABB2" w14:textId="43E95E5F" w:rsidR="00374C34" w:rsidRDefault="00B00E2D" w:rsidP="006C341F">
            <w:pPr>
              <w:jc w:val="center"/>
            </w:pPr>
            <w:r>
              <w:t>5</w:t>
            </w:r>
          </w:p>
        </w:tc>
      </w:tr>
      <w:tr w:rsidR="00374C34" w14:paraId="5BF3E12F" w14:textId="77777777" w:rsidTr="006C341F">
        <w:tc>
          <w:tcPr>
            <w:tcW w:w="4508" w:type="dxa"/>
          </w:tcPr>
          <w:p w14:paraId="4DD401CF" w14:textId="77777777" w:rsidR="00374C34" w:rsidRDefault="00374C34" w:rsidP="006C341F">
            <w:pPr>
              <w:jc w:val="center"/>
            </w:pPr>
            <w:r>
              <w:t>499-400</w:t>
            </w:r>
          </w:p>
        </w:tc>
        <w:tc>
          <w:tcPr>
            <w:tcW w:w="4508" w:type="dxa"/>
          </w:tcPr>
          <w:p w14:paraId="595639CA" w14:textId="03215A9D" w:rsidR="00374C34" w:rsidRDefault="00374C34" w:rsidP="006C341F">
            <w:pPr>
              <w:jc w:val="center"/>
            </w:pPr>
            <w:r>
              <w:t>1</w:t>
            </w:r>
            <w:r w:rsidR="00B00E2D">
              <w:t>0</w:t>
            </w:r>
          </w:p>
        </w:tc>
      </w:tr>
      <w:tr w:rsidR="00374C34" w14:paraId="714A1BCA" w14:textId="77777777" w:rsidTr="006C341F">
        <w:tc>
          <w:tcPr>
            <w:tcW w:w="4508" w:type="dxa"/>
          </w:tcPr>
          <w:p w14:paraId="3612AA02" w14:textId="77777777" w:rsidR="00374C34" w:rsidRDefault="00374C34" w:rsidP="006C341F">
            <w:pPr>
              <w:jc w:val="center"/>
            </w:pPr>
            <w:r>
              <w:t>399-300</w:t>
            </w:r>
          </w:p>
        </w:tc>
        <w:tc>
          <w:tcPr>
            <w:tcW w:w="4508" w:type="dxa"/>
          </w:tcPr>
          <w:p w14:paraId="0510D1B7" w14:textId="5568B9B9" w:rsidR="00374C34" w:rsidRDefault="00B00E2D" w:rsidP="006C341F">
            <w:pPr>
              <w:jc w:val="center"/>
            </w:pPr>
            <w:r>
              <w:t>20</w:t>
            </w:r>
          </w:p>
        </w:tc>
      </w:tr>
      <w:tr w:rsidR="00374C34" w14:paraId="1DB3EC89" w14:textId="77777777" w:rsidTr="006C341F">
        <w:tc>
          <w:tcPr>
            <w:tcW w:w="4508" w:type="dxa"/>
          </w:tcPr>
          <w:p w14:paraId="43190B12" w14:textId="77777777" w:rsidR="00374C34" w:rsidRDefault="00374C34" w:rsidP="006C341F">
            <w:pPr>
              <w:jc w:val="center"/>
            </w:pPr>
            <w:r>
              <w:t>299-200</w:t>
            </w:r>
          </w:p>
        </w:tc>
        <w:tc>
          <w:tcPr>
            <w:tcW w:w="4508" w:type="dxa"/>
          </w:tcPr>
          <w:p w14:paraId="32CA8097" w14:textId="0BF9AC03" w:rsidR="00374C34" w:rsidRDefault="00B00E2D" w:rsidP="006C341F">
            <w:pPr>
              <w:jc w:val="center"/>
            </w:pPr>
            <w:r>
              <w:t>40</w:t>
            </w:r>
          </w:p>
        </w:tc>
      </w:tr>
      <w:tr w:rsidR="00374C34" w14:paraId="0FEAFAC2" w14:textId="77777777" w:rsidTr="006C341F">
        <w:tc>
          <w:tcPr>
            <w:tcW w:w="4508" w:type="dxa"/>
          </w:tcPr>
          <w:p w14:paraId="1A8608C8" w14:textId="77777777" w:rsidR="00374C34" w:rsidRDefault="00374C34" w:rsidP="006C341F">
            <w:pPr>
              <w:jc w:val="center"/>
            </w:pPr>
            <w:r>
              <w:t>199-100</w:t>
            </w:r>
          </w:p>
        </w:tc>
        <w:tc>
          <w:tcPr>
            <w:tcW w:w="4508" w:type="dxa"/>
          </w:tcPr>
          <w:p w14:paraId="230B9F4C" w14:textId="3C88F61C" w:rsidR="00374C34" w:rsidRDefault="00B00E2D" w:rsidP="006C341F">
            <w:pPr>
              <w:jc w:val="center"/>
            </w:pPr>
            <w:r>
              <w:t>60</w:t>
            </w:r>
          </w:p>
        </w:tc>
      </w:tr>
      <w:tr w:rsidR="00374C34" w14:paraId="063F4671" w14:textId="77777777" w:rsidTr="006C341F">
        <w:tc>
          <w:tcPr>
            <w:tcW w:w="4508" w:type="dxa"/>
          </w:tcPr>
          <w:p w14:paraId="44A29747" w14:textId="77777777" w:rsidR="00374C34" w:rsidRDefault="00374C34" w:rsidP="006C341F">
            <w:pPr>
              <w:jc w:val="center"/>
            </w:pPr>
            <w:r>
              <w:t>99-0</w:t>
            </w:r>
          </w:p>
        </w:tc>
        <w:tc>
          <w:tcPr>
            <w:tcW w:w="4508" w:type="dxa"/>
          </w:tcPr>
          <w:p w14:paraId="2C925E7A" w14:textId="571E74FC" w:rsidR="00374C34" w:rsidRDefault="00B00E2D" w:rsidP="006C341F">
            <w:pPr>
              <w:jc w:val="center"/>
            </w:pPr>
            <w:r>
              <w:t>80</w:t>
            </w:r>
          </w:p>
        </w:tc>
      </w:tr>
    </w:tbl>
    <w:p w14:paraId="7AA12DE7" w14:textId="77777777" w:rsidR="003026AD" w:rsidRDefault="003026AD" w:rsidP="003026AD">
      <w:pPr>
        <w:pStyle w:val="Heading4"/>
      </w:pPr>
      <w:r>
        <w:t>Option intent</w:t>
      </w:r>
    </w:p>
    <w:p w14:paraId="146AE3F1" w14:textId="77777777" w:rsidR="003026AD" w:rsidRPr="00691301" w:rsidRDefault="003026AD" w:rsidP="003026AD">
      <w:pPr>
        <w:rPr>
          <w:b/>
          <w:bCs/>
        </w:rPr>
      </w:pPr>
      <w:r w:rsidRPr="00691301">
        <w:rPr>
          <w:b/>
          <w:bCs/>
        </w:rPr>
        <w:t xml:space="preserve">IMPORTANT NOTE – This trial is about changes to in channel </w:t>
      </w:r>
      <w:r>
        <w:rPr>
          <w:b/>
          <w:bCs/>
        </w:rPr>
        <w:t xml:space="preserve">water levels </w:t>
      </w:r>
      <w:r w:rsidRPr="00691301">
        <w:rPr>
          <w:b/>
          <w:bCs/>
          <w:u w:val="single"/>
        </w:rPr>
        <w:t>only</w:t>
      </w:r>
      <w:r>
        <w:rPr>
          <w:b/>
          <w:bCs/>
        </w:rPr>
        <w:t xml:space="preserve"> i.e.</w:t>
      </w:r>
      <w:r w:rsidRPr="00691301">
        <w:rPr>
          <w:b/>
          <w:bCs/>
        </w:rPr>
        <w:t xml:space="preserve"> </w:t>
      </w:r>
      <w:r>
        <w:rPr>
          <w:b/>
          <w:bCs/>
        </w:rPr>
        <w:t xml:space="preserve">modest changes </w:t>
      </w:r>
      <w:r w:rsidRPr="00691301">
        <w:rPr>
          <w:b/>
          <w:bCs/>
        </w:rPr>
        <w:t>t</w:t>
      </w:r>
      <w:r>
        <w:rPr>
          <w:b/>
          <w:bCs/>
        </w:rPr>
        <w:t>hat allow the continuation of extensive farming.  T</w:t>
      </w:r>
      <w:r w:rsidRPr="00691301">
        <w:rPr>
          <w:b/>
          <w:bCs/>
        </w:rPr>
        <w:t>here is no intent to overtop dich</w:t>
      </w:r>
      <w:r>
        <w:rPr>
          <w:b/>
          <w:bCs/>
        </w:rPr>
        <w:t xml:space="preserve"> banks</w:t>
      </w:r>
      <w:r w:rsidRPr="00691301">
        <w:rPr>
          <w:b/>
          <w:bCs/>
        </w:rPr>
        <w:t xml:space="preserve"> and spread water on the land.</w:t>
      </w:r>
    </w:p>
    <w:p w14:paraId="63B7531D" w14:textId="77777777" w:rsidR="003026AD" w:rsidRDefault="003026AD" w:rsidP="003026AD">
      <w:r>
        <w:t>When peats soils are exposed to air, they begin an irreversible process of decomposition, turning the peat soil into atmospheric CO</w:t>
      </w:r>
      <w:r w:rsidRPr="00691301">
        <w:rPr>
          <w:vertAlign w:val="subscript"/>
        </w:rPr>
        <w:t>2</w:t>
      </w:r>
      <w:r>
        <w:t>.</w:t>
      </w:r>
    </w:p>
    <w:p w14:paraId="7315591D" w14:textId="6E237BCF" w:rsidR="003026AD" w:rsidRDefault="003026AD" w:rsidP="003026AD">
      <w:r>
        <w:t>A higher water table reduces the amount of peat exposed to the air and thus reduce the amount of peat that is able to decompose.  By raising water tables, less peat is exposed and so less eCO</w:t>
      </w:r>
      <w:r w:rsidRPr="00691301">
        <w:rPr>
          <w:vertAlign w:val="subscript"/>
        </w:rPr>
        <w:t>2</w:t>
      </w:r>
      <w:r>
        <w:t xml:space="preserve"> is emitted each year</w:t>
      </w:r>
      <w:r>
        <w:rPr>
          <w:rStyle w:val="FootnoteReference"/>
        </w:rPr>
        <w:footnoteReference w:id="3"/>
      </w:r>
      <w:r>
        <w:t xml:space="preserve"> by the soil.</w:t>
      </w:r>
    </w:p>
    <w:p w14:paraId="11D77D31" w14:textId="5F1DF498" w:rsidR="003026AD" w:rsidRDefault="003026AD" w:rsidP="003026AD">
      <w:r w:rsidRPr="00995610">
        <w:lastRenderedPageBreak/>
        <w:t xml:space="preserve">This </w:t>
      </w:r>
      <w:r>
        <w:t xml:space="preserve">peat management </w:t>
      </w:r>
      <w:r w:rsidRPr="00995610">
        <w:t>option is intended to minimise</w:t>
      </w:r>
      <w:r>
        <w:t xml:space="preserve"> the quantity of subsurface peat exposed to the air, whilst minimising the disruption to existing farming above the surface.</w:t>
      </w:r>
    </w:p>
    <w:p w14:paraId="1B3D57F1" w14:textId="0E5DFC6A" w:rsidR="003026AD" w:rsidRPr="00C016E1" w:rsidRDefault="003026AD" w:rsidP="003026AD">
      <w:pPr>
        <w:rPr>
          <w:rFonts w:eastAsia="Times New Roman"/>
        </w:rPr>
      </w:pPr>
      <w:r>
        <w:rPr>
          <w:rFonts w:eastAsia="Times New Roman"/>
        </w:rPr>
        <w:t>The differential in payments between summer and winter rates is intended to reflect the fact that, in general, grass species are more tolerant of high water tables in winter than summer</w:t>
      </w:r>
      <w:r>
        <w:rPr>
          <w:rFonts w:eastAsia="Times New Roman"/>
        </w:rPr>
        <w:t xml:space="preserve"> and the loss of peat through decomposition is substantially lower than in summer.</w:t>
      </w:r>
    </w:p>
    <w:p w14:paraId="12EA79C0" w14:textId="77777777" w:rsidR="003026AD" w:rsidRDefault="003026AD" w:rsidP="003026AD">
      <w:r>
        <w:t>A key component of this option is the novel field by field calculation of freeboard, to more accurately represent the impact on the farming systems on the surface of the land.  This approach has been coupled with high accuracy LiDAR data collection to ensure that field levels are mapped as accurately as is possible.</w:t>
      </w:r>
    </w:p>
    <w:p w14:paraId="484D7006" w14:textId="77777777" w:rsidR="003026AD" w:rsidRPr="00AA40EC" w:rsidRDefault="003026AD" w:rsidP="003026AD">
      <w:r>
        <w:t>The sliding scale of payments rates is intended to reflect the increased challenge of farming on soils with a higher water table.  This will mean that landowners who are willing and able to tolerate a very high water table will be better rewarded for keeping more peat stable.  It is also hoped that those with the most low lying fields will be better rewarded for unlocking the potential for wider change across a hydrological block, and thus the preservation of more peat soil.</w:t>
      </w:r>
    </w:p>
    <w:p w14:paraId="5DCF75A3" w14:textId="77777777" w:rsidR="003026AD" w:rsidRDefault="003026AD" w:rsidP="003026AD">
      <w:pPr>
        <w:pStyle w:val="Heading4"/>
        <w:rPr>
          <w:rFonts w:eastAsia="Times New Roman"/>
        </w:rPr>
      </w:pPr>
      <w:r>
        <w:rPr>
          <w:rFonts w:eastAsia="Times New Roman"/>
        </w:rPr>
        <w:t>Option description</w:t>
      </w:r>
    </w:p>
    <w:p w14:paraId="7AE0D7C9" w14:textId="6596EBE7" w:rsidR="003026AD" w:rsidRPr="00691301" w:rsidRDefault="003026AD" w:rsidP="003026AD">
      <w:r>
        <w:t xml:space="preserve">The raising of </w:t>
      </w:r>
      <w:r w:rsidR="005A1ED3">
        <w:t>winter</w:t>
      </w:r>
      <w:r>
        <w:t xml:space="preserve"> pen water level across a hydrological block to facilitate the preservation of peat soil under existing agricultural management.</w:t>
      </w:r>
    </w:p>
    <w:p w14:paraId="1EC3379A" w14:textId="77777777" w:rsidR="003026AD" w:rsidRPr="00C74F04" w:rsidRDefault="003026AD" w:rsidP="003026AD">
      <w:r>
        <w:t>Payment to only cover instances where the average mean water table is increased above that listed in the most current IBD WLMP for that area, or the measured average level from the last three years.  Where possible, IDB in ditch water level telemetry will be deemed a full and fair record of ditch levels unless agreed in writing with the FWAG team in advance.  In the absence of IDB telemetry, monthly photos of water levels at pre-agreed gauge boards will suffice.</w:t>
      </w:r>
    </w:p>
    <w:p w14:paraId="4238D2E8" w14:textId="77777777" w:rsidR="003026AD" w:rsidRDefault="003026AD" w:rsidP="003026AD">
      <w:pPr>
        <w:rPr>
          <w:rFonts w:eastAsia="Times New Roman"/>
        </w:rPr>
      </w:pPr>
    </w:p>
    <w:p w14:paraId="18FFDE75" w14:textId="77777777" w:rsidR="003026AD" w:rsidRDefault="003026AD" w:rsidP="003026AD">
      <w:pPr>
        <w:pStyle w:val="Heading4"/>
        <w:rPr>
          <w:rFonts w:eastAsia="Times New Roman"/>
        </w:rPr>
      </w:pPr>
      <w:r>
        <w:rPr>
          <w:rFonts w:eastAsia="Times New Roman"/>
        </w:rPr>
        <w:t>Qualification requirements</w:t>
      </w:r>
    </w:p>
    <w:p w14:paraId="2B05EF9E" w14:textId="77777777" w:rsidR="003026AD" w:rsidRDefault="003026AD" w:rsidP="003026AD">
      <w:pPr>
        <w:rPr>
          <w:rFonts w:eastAsia="Times New Roman"/>
        </w:rPr>
      </w:pPr>
      <w:r>
        <w:tab/>
      </w:r>
      <w:r>
        <w:rPr>
          <w:rFonts w:eastAsia="Times New Roman"/>
        </w:rPr>
        <w:t>Qualification for payment will be dependent on all following trigger points being met:</w:t>
      </w:r>
    </w:p>
    <w:p w14:paraId="1DC65452" w14:textId="79BC84A3" w:rsidR="003026AD" w:rsidRDefault="003026AD" w:rsidP="003026AD">
      <w:pPr>
        <w:pStyle w:val="ListParagraph"/>
        <w:rPr>
          <w:rFonts w:eastAsia="Times New Roman"/>
          <w:i/>
          <w:iCs/>
        </w:rPr>
      </w:pPr>
      <w:r>
        <w:rPr>
          <w:rFonts w:eastAsia="Times New Roman"/>
          <w:i/>
          <w:iCs/>
        </w:rPr>
        <w:tab/>
        <w:t xml:space="preserve">On or before the implementation of </w:t>
      </w:r>
      <w:r>
        <w:rPr>
          <w:rFonts w:eastAsia="Times New Roman"/>
          <w:i/>
          <w:iCs/>
        </w:rPr>
        <w:t>winter</w:t>
      </w:r>
      <w:r>
        <w:rPr>
          <w:rFonts w:eastAsia="Times New Roman"/>
          <w:i/>
          <w:iCs/>
        </w:rPr>
        <w:t xml:space="preserve"> pe</w:t>
      </w:r>
      <w:r w:rsidRPr="00630219">
        <w:rPr>
          <w:rFonts w:eastAsia="Times New Roman"/>
          <w:i/>
          <w:iCs/>
        </w:rPr>
        <w:t>n [</w:t>
      </w:r>
      <w:r>
        <w:rPr>
          <w:rFonts w:eastAsia="Times New Roman"/>
          <w:i/>
          <w:iCs/>
        </w:rPr>
        <w:t>1</w:t>
      </w:r>
      <w:r w:rsidRPr="00C016E1">
        <w:rPr>
          <w:rFonts w:eastAsia="Times New Roman"/>
          <w:i/>
          <w:iCs/>
          <w:vertAlign w:val="superscript"/>
        </w:rPr>
        <w:t>st</w:t>
      </w:r>
      <w:r>
        <w:rPr>
          <w:rFonts w:eastAsia="Times New Roman"/>
          <w:i/>
          <w:iCs/>
        </w:rPr>
        <w:t xml:space="preserve"> December</w:t>
      </w:r>
      <w:r w:rsidRPr="00691301">
        <w:rPr>
          <w:rFonts w:eastAsia="Times New Roman"/>
          <w:i/>
          <w:iCs/>
        </w:rPr>
        <w:t>]</w:t>
      </w:r>
      <w:r>
        <w:rPr>
          <w:rFonts w:eastAsia="Times New Roman"/>
          <w:i/>
          <w:iCs/>
        </w:rPr>
        <w:t xml:space="preserve"> a minimum water level as agreed to be </w:t>
      </w:r>
      <w:r w:rsidRPr="00630219">
        <w:rPr>
          <w:rFonts w:eastAsia="Times New Roman"/>
          <w:i/>
          <w:iCs/>
        </w:rPr>
        <w:t>reached.</w:t>
      </w:r>
    </w:p>
    <w:p w14:paraId="5039494A" w14:textId="77777777" w:rsidR="003026AD" w:rsidRDefault="003026AD" w:rsidP="003026AD">
      <w:pPr>
        <w:pStyle w:val="ListParagraph"/>
        <w:rPr>
          <w:rFonts w:eastAsia="Times New Roman"/>
          <w:i/>
          <w:iCs/>
        </w:rPr>
      </w:pPr>
    </w:p>
    <w:p w14:paraId="5C9D920C" w14:textId="77777777" w:rsidR="003026AD" w:rsidRPr="00630219" w:rsidRDefault="003026AD" w:rsidP="003026AD">
      <w:pPr>
        <w:pStyle w:val="ListParagraph"/>
        <w:rPr>
          <w:rFonts w:eastAsia="Times New Roman"/>
          <w:i/>
          <w:iCs/>
        </w:rPr>
      </w:pPr>
      <w:r w:rsidRPr="00630219">
        <w:rPr>
          <w:rFonts w:eastAsia="Times New Roman"/>
          <w:i/>
          <w:iCs/>
        </w:rPr>
        <w:t xml:space="preserve">Water levels to recorded via IDB telemetry where possible recorded </w:t>
      </w:r>
      <w:r w:rsidRPr="00691301">
        <w:rPr>
          <w:i/>
          <w:iCs/>
        </w:rPr>
        <w:t xml:space="preserve">  In the absence of IDB telemetry, monthly photos of water levels at pre-agreed gauge boards will suffice.</w:t>
      </w:r>
    </w:p>
    <w:p w14:paraId="23F8C268" w14:textId="77777777" w:rsidR="003026AD" w:rsidRDefault="003026AD" w:rsidP="003026AD">
      <w:pPr>
        <w:ind w:firstLine="720"/>
        <w:rPr>
          <w:rFonts w:eastAsia="Times New Roman"/>
          <w:b/>
          <w:bCs/>
        </w:rPr>
      </w:pPr>
    </w:p>
    <w:p w14:paraId="1946E6C7" w14:textId="77777777" w:rsidR="003026AD" w:rsidRPr="00015BB9" w:rsidRDefault="003026AD" w:rsidP="003026AD">
      <w:pPr>
        <w:ind w:firstLine="720"/>
        <w:rPr>
          <w:rFonts w:eastAsia="Times New Roman"/>
          <w:b/>
          <w:bCs/>
        </w:rPr>
      </w:pPr>
      <w:r w:rsidRPr="00015BB9">
        <w:rPr>
          <w:rFonts w:eastAsia="Times New Roman"/>
          <w:b/>
          <w:bCs/>
        </w:rPr>
        <w:t>Major flood event exclusion:</w:t>
      </w:r>
    </w:p>
    <w:p w14:paraId="50100F59" w14:textId="77777777" w:rsidR="003026AD" w:rsidRDefault="003026AD" w:rsidP="003026AD">
      <w:pPr>
        <w:ind w:left="720"/>
        <w:rPr>
          <w:rFonts w:eastAsia="Times New Roman"/>
        </w:rPr>
      </w:pPr>
      <w:r>
        <w:rPr>
          <w:rFonts w:eastAsia="Times New Roman"/>
        </w:rPr>
        <w:t>If the flood risk increases beyond the limits of the trial, any additional water stored over and above typical seasonal levels will be released and all control will be returned to the relevant Flood Risk management Authorities.  Once flood risk has returned to normal the trial program will be resumed.  Money to be paid in any case.</w:t>
      </w:r>
    </w:p>
    <w:p w14:paraId="1329A5DF" w14:textId="77777777" w:rsidR="003026AD" w:rsidRPr="00DA7D24" w:rsidRDefault="003026AD" w:rsidP="003026AD">
      <w:pPr>
        <w:ind w:left="720"/>
        <w:rPr>
          <w:rFonts w:eastAsia="Times New Roman"/>
          <w:b/>
          <w:bCs/>
        </w:rPr>
      </w:pPr>
      <w:r w:rsidRPr="00DA7D24">
        <w:rPr>
          <w:rFonts w:eastAsia="Times New Roman"/>
          <w:b/>
          <w:bCs/>
        </w:rPr>
        <w:t>Double funding</w:t>
      </w:r>
    </w:p>
    <w:p w14:paraId="3FCD1C00" w14:textId="77777777" w:rsidR="003026AD" w:rsidRPr="00630219" w:rsidRDefault="003026AD" w:rsidP="003026AD">
      <w:pPr>
        <w:ind w:left="720"/>
        <w:rPr>
          <w:rFonts w:eastAsia="Times New Roman"/>
        </w:rPr>
      </w:pPr>
      <w:r w:rsidRPr="008B3DD5">
        <w:rPr>
          <w:rFonts w:eastAsia="Times New Roman"/>
        </w:rPr>
        <w:t>Fields already receiving</w:t>
      </w:r>
      <w:r>
        <w:rPr>
          <w:rFonts w:eastAsia="Times New Roman"/>
        </w:rPr>
        <w:t xml:space="preserve"> DEFRA</w:t>
      </w:r>
      <w:r w:rsidRPr="008B3DD5">
        <w:rPr>
          <w:rFonts w:eastAsia="Times New Roman"/>
        </w:rPr>
        <w:t xml:space="preserve"> funding </w:t>
      </w:r>
      <w:r>
        <w:rPr>
          <w:rFonts w:eastAsia="Times New Roman"/>
        </w:rPr>
        <w:t xml:space="preserve">that </w:t>
      </w:r>
      <w:r w:rsidRPr="00630219">
        <w:rPr>
          <w:rFonts w:eastAsia="Times New Roman"/>
        </w:rPr>
        <w:t xml:space="preserve">duplicates these options (primarily </w:t>
      </w:r>
      <w:r w:rsidRPr="00691301">
        <w:rPr>
          <w:rFonts w:eastAsia="Times New Roman"/>
        </w:rPr>
        <w:t>[HLS HK10 &amp; HK19; CS - SW18]</w:t>
      </w:r>
      <w:r w:rsidRPr="00630219">
        <w:rPr>
          <w:rFonts w:eastAsia="Times New Roman"/>
        </w:rPr>
        <w:t>) will not be eligible for this measure.</w:t>
      </w:r>
    </w:p>
    <w:p w14:paraId="3AB80A7C" w14:textId="77777777" w:rsidR="003026AD" w:rsidRDefault="003026AD" w:rsidP="003026AD">
      <w:pPr>
        <w:ind w:left="720"/>
        <w:rPr>
          <w:rFonts w:eastAsia="Times New Roman"/>
          <w:b/>
          <w:bCs/>
        </w:rPr>
      </w:pPr>
      <w:r w:rsidRPr="00691301">
        <w:rPr>
          <w:rFonts w:eastAsia="Times New Roman"/>
          <w:b/>
          <w:bCs/>
        </w:rPr>
        <w:lastRenderedPageBreak/>
        <w:t>Flood risk</w:t>
      </w:r>
      <w:r w:rsidRPr="00630219">
        <w:rPr>
          <w:rFonts w:eastAsia="Times New Roman"/>
          <w:b/>
          <w:bCs/>
        </w:rPr>
        <w:t xml:space="preserve">, </w:t>
      </w:r>
      <w:r w:rsidRPr="00691301">
        <w:rPr>
          <w:rFonts w:eastAsia="Times New Roman"/>
          <w:b/>
          <w:bCs/>
        </w:rPr>
        <w:t>deliverability</w:t>
      </w:r>
      <w:r w:rsidRPr="00630219">
        <w:rPr>
          <w:rFonts w:eastAsia="Times New Roman"/>
          <w:b/>
          <w:bCs/>
        </w:rPr>
        <w:t xml:space="preserve"> and unanimous consensus </w:t>
      </w:r>
      <w:r>
        <w:rPr>
          <w:rFonts w:eastAsia="Times New Roman"/>
          <w:b/>
          <w:bCs/>
        </w:rPr>
        <w:t>required for scheme</w:t>
      </w:r>
    </w:p>
    <w:p w14:paraId="417712C2" w14:textId="77777777" w:rsidR="003026AD" w:rsidRDefault="003026AD" w:rsidP="003026AD">
      <w:pPr>
        <w:ind w:left="720"/>
        <w:rPr>
          <w:rFonts w:eastAsia="Times New Roman"/>
        </w:rPr>
      </w:pPr>
      <w:r w:rsidRPr="00691301">
        <w:rPr>
          <w:rFonts w:eastAsia="Times New Roman"/>
        </w:rPr>
        <w:t xml:space="preserve">Acceptance of this option does not guarantee that payment will be available, </w:t>
      </w:r>
      <w:r>
        <w:rPr>
          <w:rFonts w:eastAsia="Times New Roman"/>
        </w:rPr>
        <w:t>or that any particular option is achievable.  It is an agreement to participate in a scheme on the provisos that :</w:t>
      </w:r>
    </w:p>
    <w:p w14:paraId="101782E8" w14:textId="77777777" w:rsidR="003026AD" w:rsidRPr="00691301" w:rsidRDefault="003026AD" w:rsidP="003026AD">
      <w:pPr>
        <w:pStyle w:val="ListParagraph"/>
        <w:numPr>
          <w:ilvl w:val="0"/>
          <w:numId w:val="17"/>
        </w:numPr>
        <w:rPr>
          <w:rFonts w:eastAsia="Times New Roman"/>
        </w:rPr>
      </w:pPr>
      <w:r w:rsidRPr="00691301">
        <w:rPr>
          <w:rFonts w:eastAsia="Times New Roman"/>
        </w:rPr>
        <w:t>The IDB and EA consent to run said scheme are granted,</w:t>
      </w:r>
    </w:p>
    <w:p w14:paraId="7105BD5E" w14:textId="77777777" w:rsidR="003026AD" w:rsidRPr="00691301" w:rsidRDefault="003026AD" w:rsidP="003026AD">
      <w:pPr>
        <w:pStyle w:val="ListParagraph"/>
        <w:numPr>
          <w:ilvl w:val="0"/>
          <w:numId w:val="17"/>
        </w:numPr>
        <w:rPr>
          <w:rFonts w:eastAsia="Times New Roman"/>
        </w:rPr>
      </w:pPr>
      <w:r w:rsidRPr="00691301">
        <w:rPr>
          <w:rFonts w:eastAsia="Times New Roman"/>
        </w:rPr>
        <w:t>The water level management system is capable of delivering the changes required.</w:t>
      </w:r>
    </w:p>
    <w:p w14:paraId="043EBD1B" w14:textId="77777777" w:rsidR="003026AD" w:rsidRPr="00691301" w:rsidRDefault="003026AD" w:rsidP="003026AD">
      <w:pPr>
        <w:pStyle w:val="ListParagraph"/>
        <w:numPr>
          <w:ilvl w:val="0"/>
          <w:numId w:val="17"/>
        </w:numPr>
        <w:rPr>
          <w:rFonts w:eastAsia="Times New Roman"/>
        </w:rPr>
      </w:pPr>
      <w:r w:rsidRPr="00691301">
        <w:rPr>
          <w:rFonts w:eastAsia="Times New Roman"/>
        </w:rPr>
        <w:t xml:space="preserve">There is agreement amongst all </w:t>
      </w:r>
      <w:r w:rsidRPr="00630219">
        <w:rPr>
          <w:rFonts w:eastAsia="Times New Roman"/>
        </w:rPr>
        <w:t>landowners</w:t>
      </w:r>
      <w:r w:rsidRPr="00691301">
        <w:rPr>
          <w:rFonts w:eastAsia="Times New Roman"/>
        </w:rPr>
        <w:t xml:space="preserve"> regarding the specific changes to the water level management plan are also a prerequisite for commencement of the scheme and thus payment.</w:t>
      </w:r>
    </w:p>
    <w:p w14:paraId="281D814A" w14:textId="315C9473" w:rsidR="006741A8" w:rsidRDefault="006741A8" w:rsidP="006741A8">
      <w:pPr>
        <w:pStyle w:val="Heading3"/>
        <w:rPr>
          <w:rFonts w:eastAsia="Times New Roman"/>
        </w:rPr>
      </w:pPr>
      <w:r>
        <w:rPr>
          <w:rFonts w:eastAsia="Times New Roman"/>
        </w:rPr>
        <w:t>Option 4 – Peat sensitive grazing management</w:t>
      </w:r>
    </w:p>
    <w:p w14:paraId="0EF5C196" w14:textId="77777777" w:rsidR="006741A8" w:rsidRDefault="006741A8" w:rsidP="006741A8">
      <w:pPr>
        <w:pStyle w:val="Heading4"/>
      </w:pPr>
      <w:r>
        <w:t>Value</w:t>
      </w:r>
    </w:p>
    <w:p w14:paraId="051058D5" w14:textId="42A25100" w:rsidR="006741A8" w:rsidRDefault="002574BA" w:rsidP="006741A8">
      <w:pPr>
        <w:ind w:left="720"/>
      </w:pPr>
      <w:r w:rsidRPr="003026AD">
        <w:t>£</w:t>
      </w:r>
      <w:r w:rsidRPr="00C016E1">
        <w:t xml:space="preserve"> </w:t>
      </w:r>
      <w:r w:rsidR="006741A8" w:rsidRPr="00C016E1">
        <w:t>Value</w:t>
      </w:r>
      <w:r w:rsidRPr="00C016E1">
        <w:t xml:space="preserve">: </w:t>
      </w:r>
      <w:r w:rsidR="00DF33A5" w:rsidRPr="00C016E1">
        <w:t>£</w:t>
      </w:r>
      <w:r w:rsidRPr="00C016E1">
        <w:t>13</w:t>
      </w:r>
      <w:r w:rsidR="003026AD" w:rsidRPr="00C016E1">
        <w:t>0</w:t>
      </w:r>
      <w:r w:rsidR="006741A8" w:rsidRPr="003026AD">
        <w:t>/ha.</w:t>
      </w:r>
    </w:p>
    <w:p w14:paraId="1B0444DE" w14:textId="5ECF52F4" w:rsidR="002E39F4" w:rsidRDefault="002E39F4" w:rsidP="002E39F4">
      <w:pPr>
        <w:pStyle w:val="Heading4"/>
      </w:pPr>
      <w:r>
        <w:t>Option intent</w:t>
      </w:r>
    </w:p>
    <w:p w14:paraId="52AE3860" w14:textId="08CC17E0" w:rsidR="002E39F4" w:rsidRDefault="002E39F4" w:rsidP="002E39F4">
      <w:r>
        <w:t>Current evidence suggests that a strong cover of permanent pasture will help peat stay moist, thus reducing the level of decomposition of peat soil</w:t>
      </w:r>
      <w:r w:rsidR="00932995">
        <w:t xml:space="preserve">.  In parallel </w:t>
      </w:r>
      <w:r>
        <w:t>the microbial component of healthy sward will help to break down any methane produced by any decom</w:t>
      </w:r>
      <w:r>
        <w:t>position</w:t>
      </w:r>
      <w:r>
        <w:rPr>
          <w:rStyle w:val="FootnoteReference"/>
        </w:rPr>
        <w:t xml:space="preserve"> </w:t>
      </w:r>
      <w:r>
        <w:rPr>
          <w:rStyle w:val="FootnoteReference"/>
        </w:rPr>
        <w:footnoteReference w:id="4"/>
      </w:r>
      <w:r w:rsidR="00932995">
        <w:t>, further reducing eCO</w:t>
      </w:r>
      <w:r w:rsidR="00932995" w:rsidRPr="00932995">
        <w:rPr>
          <w:vertAlign w:val="subscript"/>
        </w:rPr>
        <w:t>2</w:t>
      </w:r>
      <w:r w:rsidR="00932995">
        <w:t xml:space="preserve"> emissions from peat soils.</w:t>
      </w:r>
    </w:p>
    <w:p w14:paraId="3D977654" w14:textId="2B52AEF1" w:rsidR="00744B29" w:rsidRDefault="00744B29" w:rsidP="002E39F4">
      <w:r>
        <w:t>Rather than define exactly how the 0.25% bare peat target is met, th</w:t>
      </w:r>
      <w:r w:rsidR="002F4100">
        <w:t>is</w:t>
      </w:r>
      <w:r>
        <w:t xml:space="preserve"> Test &amp; Trial seeks to give maximum flexibility to those managing the land on how best to </w:t>
      </w:r>
      <w:r w:rsidR="002F4100">
        <w:t xml:space="preserve">ensure </w:t>
      </w:r>
      <w:r>
        <w:t>delivery that target.</w:t>
      </w:r>
    </w:p>
    <w:p w14:paraId="7D04B97B" w14:textId="1C128D65" w:rsidR="00744B29" w:rsidRPr="002E39F4" w:rsidRDefault="00744B29" w:rsidP="00C016E1">
      <w:r>
        <w:t>An example would be removal of livestock at the end of the grazing season.  The optimum date for stock removal for protection of sward is not a set date, rather it is derived from an understanding of what the land can/can not accommodate.</w:t>
      </w:r>
      <w:r w:rsidR="002F4100">
        <w:t xml:space="preserve">  In this respect, it would be up to the farmer to balance weather conditions, grass growth and stocking rates to ensure that no peat is exposed.</w:t>
      </w:r>
    </w:p>
    <w:p w14:paraId="5F2CA5D7" w14:textId="77777777" w:rsidR="006741A8" w:rsidRDefault="006741A8" w:rsidP="006741A8">
      <w:pPr>
        <w:pStyle w:val="Heading4"/>
        <w:rPr>
          <w:rFonts w:eastAsia="Times New Roman"/>
        </w:rPr>
      </w:pPr>
      <w:r>
        <w:rPr>
          <w:rFonts w:eastAsia="Times New Roman"/>
        </w:rPr>
        <w:t>Option description</w:t>
      </w:r>
    </w:p>
    <w:p w14:paraId="3CCFAE04" w14:textId="650BF452" w:rsidR="002E39F4" w:rsidRDefault="000F510E" w:rsidP="000F510E">
      <w:r>
        <w:t>Enhanced option</w:t>
      </w:r>
      <w:r w:rsidR="00C55BD1">
        <w:t xml:space="preserve"> (£130/ha)</w:t>
      </w:r>
      <w:r>
        <w:t xml:space="preserve">: </w:t>
      </w:r>
      <w:r w:rsidR="003026AD">
        <w:t xml:space="preserve"> Less than 0.25% exposed peat across whole field parcel at any time during the period 1</w:t>
      </w:r>
      <w:r w:rsidR="003026AD" w:rsidRPr="00C016E1">
        <w:rPr>
          <w:vertAlign w:val="superscript"/>
        </w:rPr>
        <w:t>st</w:t>
      </w:r>
      <w:r w:rsidR="003026AD">
        <w:t xml:space="preserve"> Dec 2022 to 1</w:t>
      </w:r>
      <w:r w:rsidR="003026AD" w:rsidRPr="00C016E1">
        <w:rPr>
          <w:vertAlign w:val="superscript"/>
        </w:rPr>
        <w:t>st</w:t>
      </w:r>
      <w:r w:rsidR="003026AD">
        <w:t xml:space="preserve"> Dec 2023.</w:t>
      </w:r>
    </w:p>
    <w:p w14:paraId="4786FFF5" w14:textId="77A627C6" w:rsidR="000B426B" w:rsidRDefault="002E39F4" w:rsidP="000F510E">
      <w:r>
        <w:t>It is the farmers responsibility to track and manage all field operations including grazing to ensure that this is not breached at any time.</w:t>
      </w:r>
    </w:p>
    <w:p w14:paraId="3186D7D0" w14:textId="68BD994B" w:rsidR="000F510E" w:rsidRDefault="002F4100" w:rsidP="002F4100">
      <w:r>
        <w:t xml:space="preserve">Acceptance of this management option explicitly agrees to the inspection of any and all parcels under this option by a member of the FWAG SW team at any point, with </w:t>
      </w:r>
      <w:r w:rsidR="00841D5E">
        <w:t>48hrs</w:t>
      </w:r>
      <w:r>
        <w:t xml:space="preserve"> notice.</w:t>
      </w:r>
    </w:p>
    <w:p w14:paraId="0FE53B12" w14:textId="053398E2" w:rsidR="006741A8" w:rsidRDefault="006741A8" w:rsidP="006741A8">
      <w:pPr>
        <w:pStyle w:val="Heading4"/>
        <w:rPr>
          <w:rFonts w:eastAsia="Times New Roman"/>
        </w:rPr>
      </w:pPr>
      <w:r>
        <w:rPr>
          <w:rFonts w:eastAsia="Times New Roman"/>
        </w:rPr>
        <w:t>Qualification requirements</w:t>
      </w:r>
    </w:p>
    <w:p w14:paraId="277CB81F" w14:textId="321B3291" w:rsidR="002F4100" w:rsidRPr="00C016E1" w:rsidRDefault="002F4100" w:rsidP="00C016E1">
      <w:r>
        <w:tab/>
      </w:r>
      <w:r w:rsidRPr="00E16321">
        <w:t xml:space="preserve">Land parcel is under </w:t>
      </w:r>
      <w:r w:rsidR="00E16321" w:rsidRPr="00E16321">
        <w:t>grass cover</w:t>
      </w:r>
      <w:r w:rsidR="00E16321">
        <w:t xml:space="preserve"> at or by 1</w:t>
      </w:r>
      <w:r w:rsidR="00E16321" w:rsidRPr="00C016E1">
        <w:rPr>
          <w:vertAlign w:val="superscript"/>
        </w:rPr>
        <w:t>st</w:t>
      </w:r>
      <w:r w:rsidR="00E16321">
        <w:t xml:space="preserve"> Dec 2022</w:t>
      </w:r>
    </w:p>
    <w:p w14:paraId="471F463D" w14:textId="5E357429" w:rsidR="002F4100" w:rsidRPr="00C016E1" w:rsidRDefault="002F4100" w:rsidP="002F4100">
      <w:pPr>
        <w:ind w:left="720"/>
        <w:rPr>
          <w:rFonts w:eastAsia="Times New Roman"/>
        </w:rPr>
      </w:pPr>
      <w:r w:rsidRPr="00C016E1">
        <w:rPr>
          <w:rFonts w:eastAsia="Times New Roman"/>
        </w:rPr>
        <w:t xml:space="preserve">Agreement that at no point between the dates </w:t>
      </w:r>
      <w:r w:rsidRPr="00E16321">
        <w:t>1</w:t>
      </w:r>
      <w:r w:rsidRPr="00E16321">
        <w:rPr>
          <w:vertAlign w:val="superscript"/>
        </w:rPr>
        <w:t>st</w:t>
      </w:r>
      <w:r w:rsidRPr="00E16321">
        <w:t xml:space="preserve"> Dec 2022 to 1</w:t>
      </w:r>
      <w:r w:rsidRPr="00E16321">
        <w:rPr>
          <w:vertAlign w:val="superscript"/>
        </w:rPr>
        <w:t>st</w:t>
      </w:r>
      <w:r w:rsidRPr="00E16321">
        <w:t xml:space="preserve"> Dec 2023</w:t>
      </w:r>
      <w:r w:rsidRPr="00E16321">
        <w:t xml:space="preserve"> will there be any more than 0.25% exposed peat soil</w:t>
      </w:r>
      <w:r w:rsidR="00E16321">
        <w:t>.</w:t>
      </w:r>
    </w:p>
    <w:p w14:paraId="426FD830" w14:textId="24B46F8E" w:rsidR="002F4100" w:rsidRDefault="002F4100" w:rsidP="006741A8">
      <w:pPr>
        <w:ind w:left="720"/>
        <w:rPr>
          <w:rFonts w:eastAsia="Times New Roman"/>
          <w:b/>
          <w:bCs/>
        </w:rPr>
      </w:pPr>
      <w:r w:rsidRPr="00C016E1">
        <w:rPr>
          <w:rFonts w:eastAsia="Times New Roman"/>
        </w:rPr>
        <w:lastRenderedPageBreak/>
        <w:t xml:space="preserve">Agreement that at any time within the agreement (with </w:t>
      </w:r>
      <w:r w:rsidR="00841D5E">
        <w:rPr>
          <w:rFonts w:eastAsia="Times New Roman"/>
        </w:rPr>
        <w:t>48hrs</w:t>
      </w:r>
      <w:r w:rsidRPr="00C016E1">
        <w:rPr>
          <w:rFonts w:eastAsia="Times New Roman"/>
        </w:rPr>
        <w:t xml:space="preserve"> notice), a member of the FWAG SW team is able to access the land parcel to assess the extent (or otherwise) of any bare peat.</w:t>
      </w:r>
    </w:p>
    <w:p w14:paraId="058BD624" w14:textId="5A8F31A1" w:rsidR="006741A8" w:rsidRPr="00DA7D24" w:rsidRDefault="006741A8" w:rsidP="006741A8">
      <w:pPr>
        <w:ind w:left="720"/>
        <w:rPr>
          <w:rFonts w:eastAsia="Times New Roman"/>
          <w:b/>
          <w:bCs/>
        </w:rPr>
      </w:pPr>
      <w:r w:rsidRPr="00DA7D24">
        <w:rPr>
          <w:rFonts w:eastAsia="Times New Roman"/>
          <w:b/>
          <w:bCs/>
        </w:rPr>
        <w:t>Double funding</w:t>
      </w:r>
    </w:p>
    <w:p w14:paraId="60A2E876" w14:textId="0C5646CD" w:rsidR="006741A8" w:rsidRPr="00006E69" w:rsidRDefault="006741A8" w:rsidP="006741A8">
      <w:pPr>
        <w:ind w:left="720"/>
        <w:rPr>
          <w:rFonts w:eastAsia="Times New Roman"/>
        </w:rPr>
      </w:pPr>
      <w:r w:rsidRPr="008B3DD5">
        <w:rPr>
          <w:rFonts w:eastAsia="Times New Roman"/>
        </w:rPr>
        <w:t xml:space="preserve">Fields already </w:t>
      </w:r>
      <w:r w:rsidRPr="00E16321">
        <w:rPr>
          <w:rFonts w:eastAsia="Times New Roman"/>
        </w:rPr>
        <w:t xml:space="preserve">receiving DEFRA funding that duplicates these options (primarily </w:t>
      </w:r>
      <w:r w:rsidRPr="00C016E1">
        <w:rPr>
          <w:rFonts w:eastAsia="Times New Roman"/>
        </w:rPr>
        <w:t>[HLS HK10 &amp; HK19</w:t>
      </w:r>
      <w:r w:rsidR="00420EAE" w:rsidRPr="00C016E1">
        <w:rPr>
          <w:rFonts w:eastAsia="Times New Roman"/>
        </w:rPr>
        <w:t>; CS  - GS2, etc.</w:t>
      </w:r>
      <w:r w:rsidRPr="00C016E1">
        <w:rPr>
          <w:rFonts w:eastAsia="Times New Roman"/>
        </w:rPr>
        <w:t>]</w:t>
      </w:r>
      <w:r w:rsidRPr="00E16321">
        <w:rPr>
          <w:rFonts w:eastAsia="Times New Roman"/>
        </w:rPr>
        <w:t xml:space="preserve">) will not </w:t>
      </w:r>
      <w:r w:rsidRPr="008B3DD5">
        <w:rPr>
          <w:rFonts w:eastAsia="Times New Roman"/>
        </w:rPr>
        <w:t>be eligible for this measure</w:t>
      </w:r>
      <w:r>
        <w:rPr>
          <w:rFonts w:eastAsia="Times New Roman"/>
        </w:rPr>
        <w:t>.</w:t>
      </w:r>
    </w:p>
    <w:p w14:paraId="49208C78" w14:textId="77777777" w:rsidR="0015236A" w:rsidRDefault="0015236A" w:rsidP="0015236A">
      <w:pPr>
        <w:ind w:left="720"/>
        <w:rPr>
          <w:rFonts w:eastAsia="Times New Roman"/>
        </w:rPr>
      </w:pPr>
    </w:p>
    <w:p w14:paraId="00B9C2E5" w14:textId="0AC20D8B" w:rsidR="0015236A" w:rsidRDefault="0015236A" w:rsidP="0015236A">
      <w:pPr>
        <w:pStyle w:val="Heading2"/>
        <w:rPr>
          <w:rFonts w:eastAsia="Times New Roman"/>
        </w:rPr>
      </w:pPr>
      <w:r>
        <w:rPr>
          <w:rFonts w:eastAsia="Times New Roman"/>
        </w:rPr>
        <w:t xml:space="preserve">Option </w:t>
      </w:r>
      <w:r w:rsidR="0061464F">
        <w:rPr>
          <w:rFonts w:eastAsia="Times New Roman"/>
        </w:rPr>
        <w:t>5</w:t>
      </w:r>
      <w:r>
        <w:rPr>
          <w:rFonts w:eastAsia="Times New Roman"/>
        </w:rPr>
        <w:t xml:space="preserve"> – Collaboration payment (discretionary)</w:t>
      </w:r>
    </w:p>
    <w:p w14:paraId="717682DC" w14:textId="484EB475" w:rsidR="0015236A" w:rsidRDefault="0015236A" w:rsidP="0015236A">
      <w:pPr>
        <w:spacing w:before="100" w:beforeAutospacing="1" w:after="100" w:afterAutospacing="1" w:line="240" w:lineRule="auto"/>
        <w:rPr>
          <w:rFonts w:eastAsia="Times New Roman"/>
        </w:rPr>
      </w:pPr>
      <w:r>
        <w:rPr>
          <w:rFonts w:eastAsia="Times New Roman"/>
        </w:rPr>
        <w:tab/>
      </w:r>
      <w:r w:rsidRPr="00E16321">
        <w:rPr>
          <w:rFonts w:eastAsia="Times New Roman"/>
        </w:rPr>
        <w:t>Value £</w:t>
      </w:r>
      <w:r w:rsidR="005E479E" w:rsidRPr="00C016E1">
        <w:rPr>
          <w:rFonts w:eastAsia="Times New Roman"/>
        </w:rPr>
        <w:t>[</w:t>
      </w:r>
      <w:r w:rsidR="000B44AD" w:rsidRPr="00C016E1">
        <w:rPr>
          <w:rFonts w:eastAsia="Times New Roman"/>
        </w:rPr>
        <w:t xml:space="preserve">15 </w:t>
      </w:r>
      <w:r w:rsidR="006C341F" w:rsidRPr="00C016E1">
        <w:rPr>
          <w:rFonts w:eastAsia="Times New Roman"/>
        </w:rPr>
        <w:t>]</w:t>
      </w:r>
      <w:r w:rsidRPr="00E16321">
        <w:rPr>
          <w:rFonts w:eastAsia="Times New Roman"/>
        </w:rPr>
        <w:t>/</w:t>
      </w:r>
      <w:commentRangeStart w:id="0"/>
      <w:r w:rsidRPr="00E16321">
        <w:rPr>
          <w:rFonts w:eastAsia="Times New Roman"/>
        </w:rPr>
        <w:t>ha</w:t>
      </w:r>
      <w:commentRangeEnd w:id="0"/>
      <w:r w:rsidR="00E355E7" w:rsidRPr="00E16321">
        <w:rPr>
          <w:rStyle w:val="CommentReference"/>
        </w:rPr>
        <w:commentReference w:id="0"/>
      </w:r>
    </w:p>
    <w:p w14:paraId="6A87308D" w14:textId="77777777" w:rsidR="0015236A" w:rsidRDefault="0015236A" w:rsidP="0015236A">
      <w:pPr>
        <w:pStyle w:val="Heading4"/>
        <w:rPr>
          <w:rFonts w:eastAsia="Times New Roman"/>
        </w:rPr>
      </w:pPr>
      <w:r>
        <w:rPr>
          <w:rFonts w:eastAsia="Times New Roman"/>
        </w:rPr>
        <w:t>Option description</w:t>
      </w:r>
    </w:p>
    <w:p w14:paraId="5F5E758D" w14:textId="77777777" w:rsidR="0015236A" w:rsidRDefault="0015236A" w:rsidP="0015236A">
      <w:r>
        <w:t>A one-off payment, to be awarded at the discretion of FWAG SW senior staff, dependant on the level of collaboration displayed by an individual moor as a whole.</w:t>
      </w:r>
    </w:p>
    <w:p w14:paraId="45D08461" w14:textId="77777777" w:rsidR="0015236A" w:rsidRDefault="0015236A" w:rsidP="0015236A">
      <w:pPr>
        <w:pStyle w:val="Heading4"/>
        <w:rPr>
          <w:rFonts w:eastAsia="Times New Roman"/>
        </w:rPr>
      </w:pPr>
      <w:r>
        <w:rPr>
          <w:rFonts w:eastAsia="Times New Roman"/>
        </w:rPr>
        <w:t>Qualification requirements</w:t>
      </w:r>
    </w:p>
    <w:p w14:paraId="6B735520" w14:textId="08452FA2" w:rsidR="0015236A" w:rsidRDefault="0015236A" w:rsidP="0015236A">
      <w:r>
        <w:t>Only to be awarded after completion of the trial time window (1</w:t>
      </w:r>
      <w:r w:rsidRPr="006A4A96">
        <w:rPr>
          <w:vertAlign w:val="superscript"/>
        </w:rPr>
        <w:t>st</w:t>
      </w:r>
      <w:r>
        <w:t xml:space="preserve"> Dec </w:t>
      </w:r>
      <w:r w:rsidR="00E16321">
        <w:t>2023</w:t>
      </w:r>
      <w:r>
        <w:t>), at the discretion of senior advisor of FWAG, using the following criteria:</w:t>
      </w:r>
    </w:p>
    <w:p w14:paraId="4295AF4D" w14:textId="77777777" w:rsidR="0015236A" w:rsidRPr="006A4A96" w:rsidRDefault="0015236A" w:rsidP="0015236A">
      <w:pPr>
        <w:pStyle w:val="Heading3"/>
      </w:pPr>
      <w:r>
        <w:t>Primary criteria</w:t>
      </w:r>
    </w:p>
    <w:p w14:paraId="0372EE6C" w14:textId="77777777" w:rsidR="0015236A" w:rsidRDefault="0015236A" w:rsidP="0015236A">
      <w:pPr>
        <w:spacing w:before="100" w:beforeAutospacing="1" w:after="100" w:afterAutospacing="1" w:line="240" w:lineRule="auto"/>
        <w:ind w:left="1440"/>
        <w:rPr>
          <w:rFonts w:eastAsia="Times New Roman"/>
        </w:rPr>
      </w:pPr>
      <w:r>
        <w:rPr>
          <w:rFonts w:eastAsia="Times New Roman"/>
        </w:rPr>
        <w:t>Ability of all participants in a given hydrological block to make and consolidate around collective decisions.</w:t>
      </w:r>
    </w:p>
    <w:p w14:paraId="6B3169B7" w14:textId="77777777" w:rsidR="0015236A" w:rsidRDefault="0015236A" w:rsidP="0015236A">
      <w:pPr>
        <w:pStyle w:val="Heading3"/>
        <w:rPr>
          <w:rFonts w:eastAsia="Times New Roman"/>
        </w:rPr>
      </w:pPr>
      <w:r>
        <w:rPr>
          <w:rFonts w:eastAsia="Times New Roman"/>
        </w:rPr>
        <w:t>Secondary criteria:</w:t>
      </w:r>
    </w:p>
    <w:p w14:paraId="61B1926E" w14:textId="77777777" w:rsidR="0015236A" w:rsidRPr="00C016E1" w:rsidRDefault="0015236A" w:rsidP="00C016E1">
      <w:pPr>
        <w:pStyle w:val="ListParagraph"/>
        <w:spacing w:before="100" w:beforeAutospacing="1" w:after="100" w:afterAutospacing="1" w:line="240" w:lineRule="auto"/>
        <w:ind w:left="1440"/>
        <w:rPr>
          <w:rFonts w:eastAsia="Times New Roman"/>
        </w:rPr>
      </w:pPr>
      <w:r w:rsidRPr="00C016E1">
        <w:rPr>
          <w:rFonts w:eastAsia="Times New Roman"/>
        </w:rPr>
        <w:t>How well trial was physically implemented</w:t>
      </w:r>
    </w:p>
    <w:p w14:paraId="0A70A40C" w14:textId="3659420E" w:rsidR="3A62F459" w:rsidRDefault="0015236A" w:rsidP="00C016E1">
      <w:pPr>
        <w:ind w:left="720" w:firstLine="720"/>
      </w:pPr>
      <w:r>
        <w:rPr>
          <w:rFonts w:eastAsia="Times New Roman"/>
        </w:rPr>
        <w:t>Results of the trial</w:t>
      </w:r>
    </w:p>
    <w:sectPr w:rsidR="3A62F459">
      <w:head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2-08-23T17:44:00Z" w:initials="u">
    <w:p w14:paraId="4431F39A" w14:textId="25D3D9F7" w:rsidR="00E355E7" w:rsidRDefault="00E355E7">
      <w:pPr>
        <w:pStyle w:val="CommentText"/>
      </w:pPr>
      <w:r>
        <w:rPr>
          <w:rStyle w:val="CommentReference"/>
        </w:rPr>
        <w:annotationRef/>
      </w:r>
      <w:r>
        <w:t>In addition to i</w:t>
      </w:r>
      <w:r w:rsidR="00420EAE">
        <w:t>nitial ‘Participation Retainer P</w:t>
      </w:r>
      <w:r>
        <w:t>ayment’</w:t>
      </w:r>
      <w:r w:rsidR="00420EAE">
        <w:t xml:space="preserve"> (PRP)</w:t>
      </w:r>
      <w:r>
        <w:t xml:space="preserve"> ?</w:t>
      </w:r>
      <w:r w:rsidR="000B44AD">
        <w:t xml:space="preserve"> Not now applicable because PRP to be removed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31F39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31F39A" w16cid:durableId="26E7C3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2900F" w14:textId="77777777" w:rsidR="009005C5" w:rsidRDefault="009005C5" w:rsidP="00646991">
      <w:pPr>
        <w:spacing w:after="0" w:line="240" w:lineRule="auto"/>
      </w:pPr>
      <w:r>
        <w:separator/>
      </w:r>
    </w:p>
  </w:endnote>
  <w:endnote w:type="continuationSeparator" w:id="0">
    <w:p w14:paraId="35EF51D7" w14:textId="77777777" w:rsidR="009005C5" w:rsidRDefault="009005C5" w:rsidP="00646991">
      <w:pPr>
        <w:spacing w:after="0" w:line="240" w:lineRule="auto"/>
      </w:pPr>
      <w:r>
        <w:continuationSeparator/>
      </w:r>
    </w:p>
  </w:endnote>
  <w:endnote w:type="continuationNotice" w:id="1">
    <w:p w14:paraId="201AAEFD" w14:textId="77777777" w:rsidR="009005C5" w:rsidRDefault="009005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9C6C" w14:textId="77777777" w:rsidR="009005C5" w:rsidRDefault="009005C5" w:rsidP="00646991">
      <w:pPr>
        <w:spacing w:after="0" w:line="240" w:lineRule="auto"/>
      </w:pPr>
      <w:r>
        <w:separator/>
      </w:r>
    </w:p>
  </w:footnote>
  <w:footnote w:type="continuationSeparator" w:id="0">
    <w:p w14:paraId="352EE5B8" w14:textId="77777777" w:rsidR="009005C5" w:rsidRDefault="009005C5" w:rsidP="00646991">
      <w:pPr>
        <w:spacing w:after="0" w:line="240" w:lineRule="auto"/>
      </w:pPr>
      <w:r>
        <w:continuationSeparator/>
      </w:r>
    </w:p>
  </w:footnote>
  <w:footnote w:type="continuationNotice" w:id="1">
    <w:p w14:paraId="31A7B7F1" w14:textId="77777777" w:rsidR="009005C5" w:rsidRDefault="009005C5">
      <w:pPr>
        <w:spacing w:after="0" w:line="240" w:lineRule="auto"/>
      </w:pPr>
    </w:p>
  </w:footnote>
  <w:footnote w:id="2">
    <w:p w14:paraId="3F58847D" w14:textId="4089AD38" w:rsidR="00BE6D8E" w:rsidRDefault="00BE6D8E" w:rsidP="00BE6D8E">
      <w:r>
        <w:rPr>
          <w:rStyle w:val="FootnoteReference"/>
        </w:rPr>
        <w:footnoteRef/>
      </w:r>
      <w:r>
        <w:t xml:space="preserve"> </w:t>
      </w:r>
      <w:r>
        <w:t>Recent evidence highlights that an extra 4 Tonnes of eCO</w:t>
      </w:r>
      <w:r w:rsidRPr="00691301">
        <w:rPr>
          <w:vertAlign w:val="subscript"/>
        </w:rPr>
        <w:t>2</w:t>
      </w:r>
      <w:r>
        <w:t>/Ha/Yr is emitted from peatlands for every.</w:t>
      </w:r>
      <w:r w:rsidR="003026AD">
        <w:t xml:space="preserve">  Summer</w:t>
      </w:r>
      <w:r w:rsidR="003026AD">
        <w:t xml:space="preserve"> decomposition rate circa </w:t>
      </w:r>
      <w:r w:rsidR="003026AD">
        <w:t>7</w:t>
      </w:r>
      <w:r w:rsidR="003026AD">
        <w:t xml:space="preserve">5% total annual </w:t>
      </w:r>
      <w:r w:rsidR="003026AD">
        <w:t>emissions</w:t>
      </w:r>
      <w:r w:rsidR="003026AD">
        <w:t>.</w:t>
      </w:r>
    </w:p>
    <w:p w14:paraId="08616329" w14:textId="41DF77CB" w:rsidR="00BE6D8E" w:rsidRDefault="00BE6D8E">
      <w:pPr>
        <w:pStyle w:val="FootnoteText"/>
      </w:pPr>
    </w:p>
  </w:footnote>
  <w:footnote w:id="3">
    <w:p w14:paraId="75E97552" w14:textId="15C6A799" w:rsidR="003026AD" w:rsidRDefault="003026AD" w:rsidP="003026AD">
      <w:r>
        <w:rPr>
          <w:rStyle w:val="FootnoteReference"/>
        </w:rPr>
        <w:footnoteRef/>
      </w:r>
      <w:r>
        <w:t xml:space="preserve"> Recent evidence highlights that an extra 4 Tonnes of eCO</w:t>
      </w:r>
      <w:r w:rsidRPr="00691301">
        <w:rPr>
          <w:vertAlign w:val="subscript"/>
        </w:rPr>
        <w:t>2</w:t>
      </w:r>
      <w:r>
        <w:t>/Ha/Yr is emitted from peatlands for every.</w:t>
      </w:r>
      <w:r>
        <w:t xml:space="preserve">  Winter decomposition rate circa 25% total annual emissions.</w:t>
      </w:r>
    </w:p>
    <w:p w14:paraId="1846B3B1" w14:textId="77777777" w:rsidR="003026AD" w:rsidRDefault="003026AD" w:rsidP="003026AD">
      <w:pPr>
        <w:pStyle w:val="FootnoteText"/>
      </w:pPr>
    </w:p>
  </w:footnote>
  <w:footnote w:id="4">
    <w:p w14:paraId="15159C51" w14:textId="45C132D3" w:rsidR="002E39F4" w:rsidRDefault="002E39F4">
      <w:pPr>
        <w:pStyle w:val="FootnoteText"/>
      </w:pPr>
      <w:r>
        <w:rPr>
          <w:rStyle w:val="FootnoteReference"/>
        </w:rPr>
        <w:footnoteRef/>
      </w:r>
      <w:r>
        <w:t xml:space="preserve"> Methane (CH</w:t>
      </w:r>
      <w:r w:rsidRPr="00C016E1">
        <w:rPr>
          <w:vertAlign w:val="subscript"/>
        </w:rPr>
        <w:t>4</w:t>
      </w:r>
      <w:r>
        <w:t>)is roughly 25-100 times more impactful than CO</w:t>
      </w:r>
      <w:r w:rsidRPr="00C016E1">
        <w:rPr>
          <w:vertAlign w:val="subscript"/>
        </w:rPr>
        <w:t>2</w:t>
      </w:r>
      <w:r>
        <w:t xml:space="preserve"> over it’s lifetime in the atmosphere with respect to climate change, therefore encouraging the rapid transition of methane to CO2 helps reduce the impact of the gasses produced by peat soil loss. </w:t>
      </w:r>
      <w:hyperlink r:id="rId1" w:history="1">
        <w:r w:rsidRPr="00EF3066">
          <w:rPr>
            <w:rStyle w:val="Hyperlink"/>
          </w:rPr>
          <w:t>https://climate.mit.edu/ask-mit/why-do-we-compare-methane-carbon-dioxide-over-100-year-timeframe-are-we-underrating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BCE6" w14:textId="42ADC891" w:rsidR="00646991" w:rsidRDefault="00646991" w:rsidP="00646991">
    <w:pPr>
      <w:pStyle w:val="Header"/>
    </w:pPr>
    <w:r>
      <w:t>Document number: SP-TT-PMG-01</w:t>
    </w:r>
  </w:p>
  <w:p w14:paraId="4136CAF3" w14:textId="1947DF71" w:rsidR="00646991" w:rsidRDefault="00646991" w:rsidP="00646991">
    <w:pPr>
      <w:pStyle w:val="Header"/>
    </w:pPr>
    <w:r>
      <w:t xml:space="preserve">Date: </w:t>
    </w:r>
    <w:r w:rsidR="000E6F2D">
      <w:t>05-10-2022</w:t>
    </w:r>
  </w:p>
  <w:p w14:paraId="6E14AECE" w14:textId="7553A90C" w:rsidR="00646991" w:rsidRDefault="00646991" w:rsidP="00646991">
    <w:pPr>
      <w:pStyle w:val="Header"/>
    </w:pPr>
    <w:r>
      <w:t>Version: 0.</w:t>
    </w:r>
    <w:r w:rsidR="0015448E">
      <w:t>7</w:t>
    </w:r>
  </w:p>
  <w:p w14:paraId="4F8CEAB1" w14:textId="77777777" w:rsidR="00646991" w:rsidRDefault="00646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79A"/>
    <w:multiLevelType w:val="multilevel"/>
    <w:tmpl w:val="F0FA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26B3D"/>
    <w:multiLevelType w:val="hybridMultilevel"/>
    <w:tmpl w:val="AD8EBD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30C6C"/>
    <w:multiLevelType w:val="hybridMultilevel"/>
    <w:tmpl w:val="5574A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66729"/>
    <w:multiLevelType w:val="hybridMultilevel"/>
    <w:tmpl w:val="AD8EB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F78A9"/>
    <w:multiLevelType w:val="hybridMultilevel"/>
    <w:tmpl w:val="5964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C4E0F"/>
    <w:multiLevelType w:val="hybridMultilevel"/>
    <w:tmpl w:val="A37E846E"/>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D464AC9"/>
    <w:multiLevelType w:val="hybridMultilevel"/>
    <w:tmpl w:val="9DB24448"/>
    <w:lvl w:ilvl="0" w:tplc="08090009">
      <w:start w:val="1"/>
      <w:numFmt w:val="bullet"/>
      <w:lvlText w:val=""/>
      <w:lvlJc w:val="left"/>
      <w:pPr>
        <w:ind w:left="820" w:hanging="360"/>
      </w:pPr>
      <w:rPr>
        <w:rFonts w:ascii="Wingdings" w:hAnsi="Wingding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219F7D01"/>
    <w:multiLevelType w:val="hybridMultilevel"/>
    <w:tmpl w:val="840C4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04C13"/>
    <w:multiLevelType w:val="hybridMultilevel"/>
    <w:tmpl w:val="17F42E3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CFC7F60"/>
    <w:multiLevelType w:val="hybridMultilevel"/>
    <w:tmpl w:val="B6847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70562"/>
    <w:multiLevelType w:val="hybridMultilevel"/>
    <w:tmpl w:val="4FB65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A2726"/>
    <w:multiLevelType w:val="hybridMultilevel"/>
    <w:tmpl w:val="1BF4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C26FC8"/>
    <w:multiLevelType w:val="hybridMultilevel"/>
    <w:tmpl w:val="57827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23E37"/>
    <w:multiLevelType w:val="hybridMultilevel"/>
    <w:tmpl w:val="17F42E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1946847"/>
    <w:multiLevelType w:val="hybridMultilevel"/>
    <w:tmpl w:val="8F5A1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95700"/>
    <w:multiLevelType w:val="hybridMultilevel"/>
    <w:tmpl w:val="A2A29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0357D3"/>
    <w:multiLevelType w:val="hybridMultilevel"/>
    <w:tmpl w:val="2326EE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D33D13"/>
    <w:multiLevelType w:val="hybridMultilevel"/>
    <w:tmpl w:val="DD3A7C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D1808C8"/>
    <w:multiLevelType w:val="hybridMultilevel"/>
    <w:tmpl w:val="14763BA8"/>
    <w:lvl w:ilvl="0" w:tplc="FFFFFFFF">
      <w:start w:val="1"/>
      <w:numFmt w:val="decimal"/>
      <w:lvlText w:val="%1."/>
      <w:lvlJc w:val="left"/>
      <w:pPr>
        <w:ind w:left="14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1E6DB8"/>
    <w:multiLevelType w:val="hybridMultilevel"/>
    <w:tmpl w:val="D762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827A59"/>
    <w:multiLevelType w:val="hybridMultilevel"/>
    <w:tmpl w:val="DAA21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EB44C8"/>
    <w:multiLevelType w:val="hybridMultilevel"/>
    <w:tmpl w:val="C0DA17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960F74"/>
    <w:multiLevelType w:val="hybridMultilevel"/>
    <w:tmpl w:val="037AC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9698890">
    <w:abstractNumId w:val="3"/>
  </w:num>
  <w:num w:numId="2" w16cid:durableId="1859855407">
    <w:abstractNumId w:val="21"/>
  </w:num>
  <w:num w:numId="3" w16cid:durableId="1293057042">
    <w:abstractNumId w:val="10"/>
  </w:num>
  <w:num w:numId="4" w16cid:durableId="1814326709">
    <w:abstractNumId w:val="22"/>
  </w:num>
  <w:num w:numId="5" w16cid:durableId="1663585664">
    <w:abstractNumId w:val="7"/>
  </w:num>
  <w:num w:numId="6" w16cid:durableId="955913586">
    <w:abstractNumId w:val="4"/>
  </w:num>
  <w:num w:numId="7" w16cid:durableId="47537583">
    <w:abstractNumId w:val="17"/>
  </w:num>
  <w:num w:numId="8" w16cid:durableId="2027362447">
    <w:abstractNumId w:val="1"/>
  </w:num>
  <w:num w:numId="9" w16cid:durableId="14616932">
    <w:abstractNumId w:val="19"/>
  </w:num>
  <w:num w:numId="10" w16cid:durableId="1072583180">
    <w:abstractNumId w:val="5"/>
  </w:num>
  <w:num w:numId="11" w16cid:durableId="1426926414">
    <w:abstractNumId w:val="0"/>
  </w:num>
  <w:num w:numId="12" w16cid:durableId="1118331588">
    <w:abstractNumId w:val="6"/>
  </w:num>
  <w:num w:numId="13" w16cid:durableId="32509861">
    <w:abstractNumId w:val="16"/>
  </w:num>
  <w:num w:numId="14" w16cid:durableId="2005356470">
    <w:abstractNumId w:val="20"/>
  </w:num>
  <w:num w:numId="15" w16cid:durableId="425659315">
    <w:abstractNumId w:val="20"/>
  </w:num>
  <w:num w:numId="16" w16cid:durableId="413430092">
    <w:abstractNumId w:val="13"/>
  </w:num>
  <w:num w:numId="17" w16cid:durableId="697850174">
    <w:abstractNumId w:val="8"/>
  </w:num>
  <w:num w:numId="18" w16cid:durableId="2039155389">
    <w:abstractNumId w:val="11"/>
  </w:num>
  <w:num w:numId="19" w16cid:durableId="1509056530">
    <w:abstractNumId w:val="12"/>
  </w:num>
  <w:num w:numId="20" w16cid:durableId="225066821">
    <w:abstractNumId w:val="18"/>
  </w:num>
  <w:num w:numId="21" w16cid:durableId="1115515584">
    <w:abstractNumId w:val="2"/>
  </w:num>
  <w:num w:numId="22" w16cid:durableId="1360274578">
    <w:abstractNumId w:val="9"/>
  </w:num>
  <w:num w:numId="23" w16cid:durableId="1508986113">
    <w:abstractNumId w:val="14"/>
  </w:num>
  <w:num w:numId="24" w16cid:durableId="5826463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95"/>
    <w:rsid w:val="00021F3F"/>
    <w:rsid w:val="00027A94"/>
    <w:rsid w:val="0004247F"/>
    <w:rsid w:val="00044833"/>
    <w:rsid w:val="000568F9"/>
    <w:rsid w:val="000660F2"/>
    <w:rsid w:val="00073295"/>
    <w:rsid w:val="000776D0"/>
    <w:rsid w:val="000800CD"/>
    <w:rsid w:val="000B426B"/>
    <w:rsid w:val="000B44AD"/>
    <w:rsid w:val="000C0DF1"/>
    <w:rsid w:val="000E1AAF"/>
    <w:rsid w:val="000E6F2D"/>
    <w:rsid w:val="000F510E"/>
    <w:rsid w:val="0010689A"/>
    <w:rsid w:val="0013286E"/>
    <w:rsid w:val="0015236A"/>
    <w:rsid w:val="001538EB"/>
    <w:rsid w:val="0015448E"/>
    <w:rsid w:val="00191793"/>
    <w:rsid w:val="00194A61"/>
    <w:rsid w:val="00196E14"/>
    <w:rsid w:val="001B1097"/>
    <w:rsid w:val="001B31D4"/>
    <w:rsid w:val="0022007B"/>
    <w:rsid w:val="00220343"/>
    <w:rsid w:val="00246934"/>
    <w:rsid w:val="002574BA"/>
    <w:rsid w:val="002C45A0"/>
    <w:rsid w:val="002E39F4"/>
    <w:rsid w:val="002F4100"/>
    <w:rsid w:val="003026AD"/>
    <w:rsid w:val="00326784"/>
    <w:rsid w:val="00363DD2"/>
    <w:rsid w:val="00374C34"/>
    <w:rsid w:val="003E2652"/>
    <w:rsid w:val="003E6AF3"/>
    <w:rsid w:val="00402ADF"/>
    <w:rsid w:val="00407800"/>
    <w:rsid w:val="004104A8"/>
    <w:rsid w:val="00415585"/>
    <w:rsid w:val="00420EAE"/>
    <w:rsid w:val="0044305E"/>
    <w:rsid w:val="004475AF"/>
    <w:rsid w:val="00451C69"/>
    <w:rsid w:val="00453D16"/>
    <w:rsid w:val="004A1250"/>
    <w:rsid w:val="004A7BAB"/>
    <w:rsid w:val="004D0F1E"/>
    <w:rsid w:val="004F704C"/>
    <w:rsid w:val="0050120C"/>
    <w:rsid w:val="00505939"/>
    <w:rsid w:val="00511515"/>
    <w:rsid w:val="00513817"/>
    <w:rsid w:val="00521A37"/>
    <w:rsid w:val="00541810"/>
    <w:rsid w:val="0055301F"/>
    <w:rsid w:val="00556122"/>
    <w:rsid w:val="00575903"/>
    <w:rsid w:val="005908A4"/>
    <w:rsid w:val="005A003B"/>
    <w:rsid w:val="005A1ED3"/>
    <w:rsid w:val="005A44E3"/>
    <w:rsid w:val="005A527F"/>
    <w:rsid w:val="005B0B4A"/>
    <w:rsid w:val="005C6F14"/>
    <w:rsid w:val="005D0177"/>
    <w:rsid w:val="005D7004"/>
    <w:rsid w:val="005E1C1F"/>
    <w:rsid w:val="005E479E"/>
    <w:rsid w:val="0060152A"/>
    <w:rsid w:val="00611BFF"/>
    <w:rsid w:val="0061464F"/>
    <w:rsid w:val="00617D79"/>
    <w:rsid w:val="00622937"/>
    <w:rsid w:val="00630219"/>
    <w:rsid w:val="0063066F"/>
    <w:rsid w:val="00635E9F"/>
    <w:rsid w:val="00641200"/>
    <w:rsid w:val="00643EE1"/>
    <w:rsid w:val="006459CB"/>
    <w:rsid w:val="00646991"/>
    <w:rsid w:val="0064757A"/>
    <w:rsid w:val="00652568"/>
    <w:rsid w:val="00670A14"/>
    <w:rsid w:val="006741A8"/>
    <w:rsid w:val="006747EA"/>
    <w:rsid w:val="00680E40"/>
    <w:rsid w:val="006908C0"/>
    <w:rsid w:val="00693C56"/>
    <w:rsid w:val="006A3F50"/>
    <w:rsid w:val="006C0153"/>
    <w:rsid w:val="006C341F"/>
    <w:rsid w:val="006C4F35"/>
    <w:rsid w:val="006E43A8"/>
    <w:rsid w:val="006E755E"/>
    <w:rsid w:val="0070686A"/>
    <w:rsid w:val="00706A2D"/>
    <w:rsid w:val="00714C58"/>
    <w:rsid w:val="0071629B"/>
    <w:rsid w:val="00724B8B"/>
    <w:rsid w:val="00744B29"/>
    <w:rsid w:val="00763B02"/>
    <w:rsid w:val="007E0E0E"/>
    <w:rsid w:val="007F47F7"/>
    <w:rsid w:val="008046A3"/>
    <w:rsid w:val="00815C91"/>
    <w:rsid w:val="00817CA1"/>
    <w:rsid w:val="0082098F"/>
    <w:rsid w:val="00825AE0"/>
    <w:rsid w:val="00840912"/>
    <w:rsid w:val="00841D5E"/>
    <w:rsid w:val="008C7C5E"/>
    <w:rsid w:val="008D45AF"/>
    <w:rsid w:val="008D48C6"/>
    <w:rsid w:val="008F245B"/>
    <w:rsid w:val="008F44E7"/>
    <w:rsid w:val="009005C5"/>
    <w:rsid w:val="00911949"/>
    <w:rsid w:val="00932995"/>
    <w:rsid w:val="0093322D"/>
    <w:rsid w:val="00950292"/>
    <w:rsid w:val="00961330"/>
    <w:rsid w:val="00995610"/>
    <w:rsid w:val="009B4309"/>
    <w:rsid w:val="009C2A73"/>
    <w:rsid w:val="00A11331"/>
    <w:rsid w:val="00A12931"/>
    <w:rsid w:val="00A13C25"/>
    <w:rsid w:val="00A244AA"/>
    <w:rsid w:val="00A279C0"/>
    <w:rsid w:val="00A572FB"/>
    <w:rsid w:val="00A61E9C"/>
    <w:rsid w:val="00A6371A"/>
    <w:rsid w:val="00A961C4"/>
    <w:rsid w:val="00AA40EC"/>
    <w:rsid w:val="00AE2612"/>
    <w:rsid w:val="00AF6377"/>
    <w:rsid w:val="00B00E2D"/>
    <w:rsid w:val="00B11DD5"/>
    <w:rsid w:val="00B24FBF"/>
    <w:rsid w:val="00B36B0B"/>
    <w:rsid w:val="00B56BA4"/>
    <w:rsid w:val="00BA29B5"/>
    <w:rsid w:val="00BA46EC"/>
    <w:rsid w:val="00BE6D8E"/>
    <w:rsid w:val="00BF137F"/>
    <w:rsid w:val="00C016E1"/>
    <w:rsid w:val="00C1738E"/>
    <w:rsid w:val="00C40DDD"/>
    <w:rsid w:val="00C42037"/>
    <w:rsid w:val="00C549AF"/>
    <w:rsid w:val="00C55BD1"/>
    <w:rsid w:val="00C56672"/>
    <w:rsid w:val="00C57C29"/>
    <w:rsid w:val="00C74F04"/>
    <w:rsid w:val="00C776D1"/>
    <w:rsid w:val="00CD1BB5"/>
    <w:rsid w:val="00CD277C"/>
    <w:rsid w:val="00D16F7B"/>
    <w:rsid w:val="00D352C8"/>
    <w:rsid w:val="00D45AF8"/>
    <w:rsid w:val="00D92DE2"/>
    <w:rsid w:val="00DA302F"/>
    <w:rsid w:val="00DC3915"/>
    <w:rsid w:val="00DF2253"/>
    <w:rsid w:val="00DF33A5"/>
    <w:rsid w:val="00DF564E"/>
    <w:rsid w:val="00E02313"/>
    <w:rsid w:val="00E047BB"/>
    <w:rsid w:val="00E058B1"/>
    <w:rsid w:val="00E11904"/>
    <w:rsid w:val="00E16321"/>
    <w:rsid w:val="00E355E7"/>
    <w:rsid w:val="00E502C9"/>
    <w:rsid w:val="00E5368D"/>
    <w:rsid w:val="00E66A43"/>
    <w:rsid w:val="00E8713B"/>
    <w:rsid w:val="00E913A5"/>
    <w:rsid w:val="00EA0070"/>
    <w:rsid w:val="00EB1DAA"/>
    <w:rsid w:val="00EB3216"/>
    <w:rsid w:val="00ED394A"/>
    <w:rsid w:val="00EF6D8B"/>
    <w:rsid w:val="00F0143C"/>
    <w:rsid w:val="00F04D77"/>
    <w:rsid w:val="00F40A47"/>
    <w:rsid w:val="00F754F6"/>
    <w:rsid w:val="00F801CF"/>
    <w:rsid w:val="00F90A93"/>
    <w:rsid w:val="00FA39A6"/>
    <w:rsid w:val="00FA79D0"/>
    <w:rsid w:val="00FC0987"/>
    <w:rsid w:val="00FC5D73"/>
    <w:rsid w:val="00FD24BB"/>
    <w:rsid w:val="00FE1CBB"/>
    <w:rsid w:val="0374047F"/>
    <w:rsid w:val="053AF453"/>
    <w:rsid w:val="06116104"/>
    <w:rsid w:val="07DCB405"/>
    <w:rsid w:val="09CA1DA6"/>
    <w:rsid w:val="0DB76331"/>
    <w:rsid w:val="0E76952B"/>
    <w:rsid w:val="12834C70"/>
    <w:rsid w:val="1471F498"/>
    <w:rsid w:val="17D08460"/>
    <w:rsid w:val="180DA8F3"/>
    <w:rsid w:val="19E77FD7"/>
    <w:rsid w:val="21A57B71"/>
    <w:rsid w:val="22F558E4"/>
    <w:rsid w:val="26F82A65"/>
    <w:rsid w:val="2A66E13E"/>
    <w:rsid w:val="2A763B7E"/>
    <w:rsid w:val="2A7BB282"/>
    <w:rsid w:val="2AA9F2C1"/>
    <w:rsid w:val="2AE05D93"/>
    <w:rsid w:val="2F49ACA1"/>
    <w:rsid w:val="2FF13DC1"/>
    <w:rsid w:val="3460E5C3"/>
    <w:rsid w:val="3516EF33"/>
    <w:rsid w:val="351755D2"/>
    <w:rsid w:val="369CB3CD"/>
    <w:rsid w:val="36F0C617"/>
    <w:rsid w:val="37C40A9F"/>
    <w:rsid w:val="395340BF"/>
    <w:rsid w:val="3A62F459"/>
    <w:rsid w:val="3A844F83"/>
    <w:rsid w:val="3BF24882"/>
    <w:rsid w:val="3BFEC4BA"/>
    <w:rsid w:val="3C0F074C"/>
    <w:rsid w:val="3C62768B"/>
    <w:rsid w:val="3C7B229A"/>
    <w:rsid w:val="4759A779"/>
    <w:rsid w:val="482E9AC2"/>
    <w:rsid w:val="4ADBB62E"/>
    <w:rsid w:val="4D6A59C0"/>
    <w:rsid w:val="4DB8F745"/>
    <w:rsid w:val="4ED132BC"/>
    <w:rsid w:val="4F082DA9"/>
    <w:rsid w:val="506612B1"/>
    <w:rsid w:val="52038E50"/>
    <w:rsid w:val="53D1EBD9"/>
    <w:rsid w:val="55BBE9CE"/>
    <w:rsid w:val="57228227"/>
    <w:rsid w:val="5A42DC1E"/>
    <w:rsid w:val="5A8F6EBE"/>
    <w:rsid w:val="5DB5A1D8"/>
    <w:rsid w:val="5DF361BD"/>
    <w:rsid w:val="6528E8E1"/>
    <w:rsid w:val="6799F329"/>
    <w:rsid w:val="68A451A2"/>
    <w:rsid w:val="69444F4B"/>
    <w:rsid w:val="694D11B2"/>
    <w:rsid w:val="69EBD0D4"/>
    <w:rsid w:val="6AE01FAC"/>
    <w:rsid w:val="6B80B0C9"/>
    <w:rsid w:val="6E17C06E"/>
    <w:rsid w:val="6E4CE8DF"/>
    <w:rsid w:val="73F81CE1"/>
    <w:rsid w:val="7A8C919B"/>
    <w:rsid w:val="7A9FB7A1"/>
    <w:rsid w:val="7E91B5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1BF7"/>
  <w15:docId w15:val="{8F33445A-7DAD-4371-BBDF-FB5490A2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F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1F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6A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5236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295"/>
    <w:pPr>
      <w:ind w:left="720"/>
      <w:contextualSpacing/>
    </w:pPr>
  </w:style>
  <w:style w:type="paragraph" w:styleId="Title">
    <w:name w:val="Title"/>
    <w:basedOn w:val="Normal"/>
    <w:next w:val="Normal"/>
    <w:link w:val="TitleChar"/>
    <w:uiPriority w:val="10"/>
    <w:qFormat/>
    <w:rsid w:val="00021F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F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F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1F3F"/>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021F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1F3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6A2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646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991"/>
  </w:style>
  <w:style w:type="paragraph" w:styleId="Footer">
    <w:name w:val="footer"/>
    <w:basedOn w:val="Normal"/>
    <w:link w:val="FooterChar"/>
    <w:uiPriority w:val="99"/>
    <w:unhideWhenUsed/>
    <w:rsid w:val="00646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991"/>
  </w:style>
  <w:style w:type="character" w:customStyle="1" w:styleId="Heading4Char">
    <w:name w:val="Heading 4 Char"/>
    <w:basedOn w:val="DefaultParagraphFont"/>
    <w:link w:val="Heading4"/>
    <w:uiPriority w:val="9"/>
    <w:rsid w:val="0015236A"/>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153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8EB"/>
    <w:rPr>
      <w:rFonts w:ascii="Tahoma" w:hAnsi="Tahoma" w:cs="Tahoma"/>
      <w:sz w:val="16"/>
      <w:szCs w:val="16"/>
    </w:rPr>
  </w:style>
  <w:style w:type="character" w:styleId="CommentReference">
    <w:name w:val="annotation reference"/>
    <w:basedOn w:val="DefaultParagraphFont"/>
    <w:uiPriority w:val="99"/>
    <w:semiHidden/>
    <w:unhideWhenUsed/>
    <w:rsid w:val="00E355E7"/>
    <w:rPr>
      <w:sz w:val="16"/>
      <w:szCs w:val="16"/>
    </w:rPr>
  </w:style>
  <w:style w:type="paragraph" w:styleId="CommentText">
    <w:name w:val="annotation text"/>
    <w:basedOn w:val="Normal"/>
    <w:link w:val="CommentTextChar"/>
    <w:uiPriority w:val="99"/>
    <w:semiHidden/>
    <w:unhideWhenUsed/>
    <w:rsid w:val="00E355E7"/>
    <w:pPr>
      <w:spacing w:line="240" w:lineRule="auto"/>
    </w:pPr>
    <w:rPr>
      <w:sz w:val="20"/>
      <w:szCs w:val="20"/>
    </w:rPr>
  </w:style>
  <w:style w:type="character" w:customStyle="1" w:styleId="CommentTextChar">
    <w:name w:val="Comment Text Char"/>
    <w:basedOn w:val="DefaultParagraphFont"/>
    <w:link w:val="CommentText"/>
    <w:uiPriority w:val="99"/>
    <w:semiHidden/>
    <w:rsid w:val="00E355E7"/>
    <w:rPr>
      <w:sz w:val="20"/>
      <w:szCs w:val="20"/>
    </w:rPr>
  </w:style>
  <w:style w:type="paragraph" w:styleId="CommentSubject">
    <w:name w:val="annotation subject"/>
    <w:basedOn w:val="CommentText"/>
    <w:next w:val="CommentText"/>
    <w:link w:val="CommentSubjectChar"/>
    <w:uiPriority w:val="99"/>
    <w:semiHidden/>
    <w:unhideWhenUsed/>
    <w:rsid w:val="00E355E7"/>
    <w:rPr>
      <w:b/>
      <w:bCs/>
    </w:rPr>
  </w:style>
  <w:style w:type="character" w:customStyle="1" w:styleId="CommentSubjectChar">
    <w:name w:val="Comment Subject Char"/>
    <w:basedOn w:val="CommentTextChar"/>
    <w:link w:val="CommentSubject"/>
    <w:uiPriority w:val="99"/>
    <w:semiHidden/>
    <w:rsid w:val="00E355E7"/>
    <w:rPr>
      <w:b/>
      <w:bCs/>
      <w:sz w:val="20"/>
      <w:szCs w:val="20"/>
    </w:rPr>
  </w:style>
  <w:style w:type="paragraph" w:styleId="Revision">
    <w:name w:val="Revision"/>
    <w:hidden/>
    <w:uiPriority w:val="99"/>
    <w:semiHidden/>
    <w:rsid w:val="001B31D4"/>
    <w:pPr>
      <w:spacing w:after="0" w:line="240" w:lineRule="auto"/>
    </w:pPr>
  </w:style>
  <w:style w:type="table" w:styleId="TableGrid">
    <w:name w:val="Table Grid"/>
    <w:basedOn w:val="TableNormal"/>
    <w:uiPriority w:val="39"/>
    <w:unhideWhenUsed/>
    <w:rsid w:val="00196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E6D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6D8E"/>
    <w:rPr>
      <w:sz w:val="20"/>
      <w:szCs w:val="20"/>
    </w:rPr>
  </w:style>
  <w:style w:type="character" w:styleId="FootnoteReference">
    <w:name w:val="footnote reference"/>
    <w:basedOn w:val="DefaultParagraphFont"/>
    <w:uiPriority w:val="99"/>
    <w:semiHidden/>
    <w:unhideWhenUsed/>
    <w:rsid w:val="00BE6D8E"/>
    <w:rPr>
      <w:vertAlign w:val="superscript"/>
    </w:rPr>
  </w:style>
  <w:style w:type="character" w:styleId="UnresolvedMention">
    <w:name w:val="Unresolved Mention"/>
    <w:basedOn w:val="DefaultParagraphFont"/>
    <w:uiPriority w:val="99"/>
    <w:semiHidden/>
    <w:unhideWhenUsed/>
    <w:rsid w:val="002E3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20317">
      <w:bodyDiv w:val="1"/>
      <w:marLeft w:val="0"/>
      <w:marRight w:val="0"/>
      <w:marTop w:val="0"/>
      <w:marBottom w:val="0"/>
      <w:divBdr>
        <w:top w:val="none" w:sz="0" w:space="0" w:color="auto"/>
        <w:left w:val="none" w:sz="0" w:space="0" w:color="auto"/>
        <w:bottom w:val="none" w:sz="0" w:space="0" w:color="auto"/>
        <w:right w:val="none" w:sz="0" w:space="0" w:color="auto"/>
      </w:divBdr>
    </w:div>
    <w:div w:id="725642202">
      <w:bodyDiv w:val="1"/>
      <w:marLeft w:val="0"/>
      <w:marRight w:val="0"/>
      <w:marTop w:val="0"/>
      <w:marBottom w:val="0"/>
      <w:divBdr>
        <w:top w:val="none" w:sz="0" w:space="0" w:color="auto"/>
        <w:left w:val="none" w:sz="0" w:space="0" w:color="auto"/>
        <w:bottom w:val="none" w:sz="0" w:space="0" w:color="auto"/>
        <w:right w:val="none" w:sz="0" w:space="0" w:color="auto"/>
      </w:divBdr>
    </w:div>
    <w:div w:id="802312958">
      <w:bodyDiv w:val="1"/>
      <w:marLeft w:val="0"/>
      <w:marRight w:val="0"/>
      <w:marTop w:val="0"/>
      <w:marBottom w:val="0"/>
      <w:divBdr>
        <w:top w:val="none" w:sz="0" w:space="0" w:color="auto"/>
        <w:left w:val="none" w:sz="0" w:space="0" w:color="auto"/>
        <w:bottom w:val="none" w:sz="0" w:space="0" w:color="auto"/>
        <w:right w:val="none" w:sz="0" w:space="0" w:color="auto"/>
      </w:divBdr>
    </w:div>
    <w:div w:id="1799950532">
      <w:bodyDiv w:val="1"/>
      <w:marLeft w:val="0"/>
      <w:marRight w:val="0"/>
      <w:marTop w:val="0"/>
      <w:marBottom w:val="0"/>
      <w:divBdr>
        <w:top w:val="none" w:sz="0" w:space="0" w:color="auto"/>
        <w:left w:val="none" w:sz="0" w:space="0" w:color="auto"/>
        <w:bottom w:val="none" w:sz="0" w:space="0" w:color="auto"/>
        <w:right w:val="none" w:sz="0" w:space="0" w:color="auto"/>
      </w:divBdr>
    </w:div>
    <w:div w:id="198974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limate.mit.edu/ask-mit/why-do-we-compare-methane-carbon-dioxide-over-100-year-timeframe-are-we-underr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221B082DBD60846B181E8CF7B0B6ED8" ma:contentTypeVersion="10" ma:contentTypeDescription="Create a new document." ma:contentTypeScope="" ma:versionID="d8f607d0545c59c50ed49dd00eed5be3">
  <xsd:schema xmlns:xsd="http://www.w3.org/2001/XMLSchema" xmlns:xs="http://www.w3.org/2001/XMLSchema" xmlns:p="http://schemas.microsoft.com/office/2006/metadata/properties" xmlns:ns3="f66e25c3-57ca-445b-89e1-f1ac8aaaa4f3" xmlns:ns4="fec7add0-042c-46c5-831e-fe8faba2e532" targetNamespace="http://schemas.microsoft.com/office/2006/metadata/properties" ma:root="true" ma:fieldsID="e1834f9d8296d0a6587a559d391d21e1" ns3:_="" ns4:_="">
    <xsd:import namespace="f66e25c3-57ca-445b-89e1-f1ac8aaaa4f3"/>
    <xsd:import namespace="fec7add0-042c-46c5-831e-fe8faba2e5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e25c3-57ca-445b-89e1-f1ac8aaaa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c7add0-042c-46c5-831e-fe8faba2e5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6A83C-2689-4963-B83A-1D8B63A2F8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D150BC-CE7B-4A20-B3EF-8338B91573AC}">
  <ds:schemaRefs>
    <ds:schemaRef ds:uri="http://schemas.microsoft.com/sharepoint/v3/contenttype/forms"/>
  </ds:schemaRefs>
</ds:datastoreItem>
</file>

<file path=customXml/itemProps3.xml><?xml version="1.0" encoding="utf-8"?>
<ds:datastoreItem xmlns:ds="http://schemas.openxmlformats.org/officeDocument/2006/customXml" ds:itemID="{0DC4FCAB-A210-48BF-AA1D-9AC30B9E7CDF}">
  <ds:schemaRefs>
    <ds:schemaRef ds:uri="http://schemas.openxmlformats.org/officeDocument/2006/bibliography"/>
  </ds:schemaRefs>
</ds:datastoreItem>
</file>

<file path=customXml/itemProps4.xml><?xml version="1.0" encoding="utf-8"?>
<ds:datastoreItem xmlns:ds="http://schemas.openxmlformats.org/officeDocument/2006/customXml" ds:itemID="{66F7F343-B1C5-4F90-B9D3-BDE1F19BE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e25c3-57ca-445b-89e1-f1ac8aaaa4f3"/>
    <ds:schemaRef ds:uri="fec7add0-042c-46c5-831e-fe8faba2e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14429</CharactersWithSpaces>
  <SharedDoc>false</SharedDoc>
  <HLinks>
    <vt:vector size="18" baseType="variant">
      <vt:variant>
        <vt:i4>1310739</vt:i4>
      </vt:variant>
      <vt:variant>
        <vt:i4>6</vt:i4>
      </vt:variant>
      <vt:variant>
        <vt:i4>0</vt:i4>
      </vt:variant>
      <vt:variant>
        <vt:i4>5</vt:i4>
      </vt:variant>
      <vt:variant>
        <vt:lpwstr>https://www.nweurope.eu/projects/project-search/care-peat-carbon-loss-reduction-from-peatlands-an-integrated-approach/news/netherlands-first-carbon-credit-sale-from-peatland-rewetting/</vt:lpwstr>
      </vt:variant>
      <vt:variant>
        <vt:lpwstr/>
      </vt:variant>
      <vt:variant>
        <vt:i4>393298</vt:i4>
      </vt:variant>
      <vt:variant>
        <vt:i4>3</vt:i4>
      </vt:variant>
      <vt:variant>
        <vt:i4>0</vt:i4>
      </vt:variant>
      <vt:variant>
        <vt:i4>5</vt:i4>
      </vt:variant>
      <vt:variant>
        <vt:lpwstr>https://www.rspb.org.uk/our-work/conservation/conservation-and-sustainability/farming/advice/techniques-to-help-wildlife/re-wetting-grassland</vt:lpwstr>
      </vt:variant>
      <vt:variant>
        <vt:lpwstr/>
      </vt:variant>
      <vt:variant>
        <vt:i4>2359342</vt:i4>
      </vt:variant>
      <vt:variant>
        <vt:i4>0</vt:i4>
      </vt:variant>
      <vt:variant>
        <vt:i4>0</vt:i4>
      </vt:variant>
      <vt:variant>
        <vt:i4>5</vt:i4>
      </vt:variant>
      <vt:variant>
        <vt:lpwstr>https://magic.defra.gov.uk/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Barnard</dc:creator>
  <cp:keywords/>
  <cp:lastModifiedBy>Will Barnard</cp:lastModifiedBy>
  <cp:revision>16</cp:revision>
  <dcterms:created xsi:type="dcterms:W3CDTF">2022-11-22T14:35:00Z</dcterms:created>
  <dcterms:modified xsi:type="dcterms:W3CDTF">2022-11-22T14:53:00Z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0x0101003221B082DBD60846B181E8CF7B0B6ED8</vt:lpwstr>
  </property>
</Properties>
</file>